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960" w:lineRule="exact"/>
        <w:textAlignment w:val="auto"/>
        <w:rPr>
          <w:rFonts w:ascii="楷体_GB2312" w:hAnsi="楷体_GB2312" w:eastAsia="楷体_GB2312" w:cs="楷体_GB2312"/>
          <w:sz w:val="30"/>
          <w:szCs w:val="30"/>
        </w:rPr>
      </w:pPr>
      <w:r>
        <w:rPr>
          <w:rFonts w:hint="eastAsia" w:ascii="楷体_GB2312" w:hAnsi="楷体_GB2312" w:eastAsia="楷体_GB2312" w:cs="楷体_GB2312"/>
          <w:sz w:val="30"/>
          <w:szCs w:val="30"/>
        </w:rPr>
        <w:t>温州市龙湾区八届人大四次会议文件(</w:t>
      </w:r>
      <w:r>
        <w:rPr>
          <w:rFonts w:hint="eastAsia" w:ascii="楷体_GB2312" w:hAnsi="楷体_GB2312" w:eastAsia="楷体_GB2312" w:cs="楷体_GB2312"/>
          <w:sz w:val="30"/>
          <w:szCs w:val="30"/>
          <w:lang w:val="en-US" w:eastAsia="zh-CN"/>
        </w:rPr>
        <w:t>17</w:t>
      </w:r>
      <w:r>
        <w:rPr>
          <w:rFonts w:hint="eastAsia" w:ascii="楷体_GB2312" w:hAnsi="楷体_GB2312" w:eastAsia="楷体_GB2312" w:cs="楷体_GB2312"/>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楷体_GB2312" w:hAnsi="楷体_GB2312" w:eastAsia="楷体_GB2312" w:cs="楷体_GB2312"/>
          <w:sz w:val="30"/>
          <w:szCs w:val="30"/>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关于温州市龙湾区201</w:t>
      </w:r>
      <w:r>
        <w:rPr>
          <w:rFonts w:hint="eastAsia" w:ascii="方正小标宋简体" w:hAnsi="方正小标宋简体" w:eastAsia="方正小标宋简体" w:cs="方正小标宋简体"/>
          <w:color w:val="auto"/>
          <w:sz w:val="44"/>
          <w:szCs w:val="44"/>
          <w:highlight w:val="none"/>
          <w:lang w:val="en-US" w:eastAsia="zh-CN"/>
        </w:rPr>
        <w:t>9</w:t>
      </w:r>
      <w:r>
        <w:rPr>
          <w:rFonts w:hint="eastAsia" w:ascii="方正小标宋简体" w:hAnsi="方正小标宋简体" w:eastAsia="方正小标宋简体" w:cs="方正小标宋简体"/>
          <w:color w:val="auto"/>
          <w:sz w:val="44"/>
          <w:szCs w:val="44"/>
          <w:highlight w:val="none"/>
        </w:rPr>
        <w:t>年区本级预算执行情况与</w:t>
      </w:r>
      <w:r>
        <w:rPr>
          <w:rFonts w:hint="eastAsia" w:ascii="方正小标宋简体" w:hAnsi="方正小标宋简体" w:eastAsia="方正小标宋简体" w:cs="方正小标宋简体"/>
          <w:color w:val="auto"/>
          <w:sz w:val="44"/>
          <w:szCs w:val="44"/>
          <w:highlight w:val="none"/>
          <w:lang w:val="en-US" w:eastAsia="zh-CN"/>
        </w:rPr>
        <w:t>2020</w:t>
      </w:r>
      <w:r>
        <w:rPr>
          <w:rFonts w:hint="eastAsia" w:ascii="方正小标宋简体" w:hAnsi="方正小标宋简体" w:eastAsia="方正小标宋简体" w:cs="方正小标宋简体"/>
          <w:color w:val="auto"/>
          <w:sz w:val="44"/>
          <w:szCs w:val="44"/>
          <w:highlight w:val="none"/>
        </w:rPr>
        <w:t>年区本级预算草案的报告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27</w:t>
      </w:r>
      <w:r>
        <w:rPr>
          <w:rFonts w:hint="eastAsia" w:ascii="楷体_GB2312" w:hAnsi="楷体_GB2312" w:eastAsia="楷体_GB2312" w:cs="楷体_GB2312"/>
          <w:sz w:val="32"/>
          <w:szCs w:val="32"/>
        </w:rPr>
        <w:t>日在温州市龙湾区第八届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人民代表大会第</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次会议上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龙湾区财政局</w:t>
      </w:r>
    </w:p>
    <w:p>
      <w:pPr>
        <w:keepNext w:val="0"/>
        <w:keepLines w:val="0"/>
        <w:pageBreakBefore w:val="0"/>
        <w:kinsoku/>
        <w:wordWrap/>
        <w:overflowPunct/>
        <w:topLinePunct w:val="0"/>
        <w:autoSpaceDE/>
        <w:autoSpaceDN/>
        <w:bidi w:val="0"/>
        <w:spacing w:line="560" w:lineRule="exact"/>
        <w:jc w:val="center"/>
        <w:textAlignment w:val="auto"/>
        <w:rPr>
          <w:rFonts w:ascii="楷体_GB2312" w:hAnsi="楷体_GB2312" w:eastAsia="楷体_GB2312" w:cs="楷体_GB2312"/>
          <w:color w:val="auto"/>
          <w:sz w:val="32"/>
          <w:szCs w:val="32"/>
          <w:highlight w:val="none"/>
        </w:rPr>
      </w:pP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各位代表：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受区人民政府委托，现将龙湾区201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年区本级预算执行情况与</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年区本级预算草案提请</w:t>
      </w:r>
      <w:r>
        <w:rPr>
          <w:rFonts w:hint="eastAsia" w:ascii="仿宋_GB2312" w:hAnsi="仿宋_GB2312" w:eastAsia="仿宋_GB2312" w:cs="仿宋_GB2312"/>
          <w:color w:val="auto"/>
          <w:sz w:val="32"/>
          <w:szCs w:val="32"/>
          <w:highlight w:val="none"/>
          <w:lang w:eastAsia="zh-CN"/>
        </w:rPr>
        <w:t>区第八届人民代表大会第四次会议</w:t>
      </w:r>
      <w:r>
        <w:rPr>
          <w:rFonts w:hint="eastAsia" w:ascii="仿宋_GB2312" w:hAnsi="仿宋_GB2312" w:eastAsia="仿宋_GB2312" w:cs="仿宋_GB2312"/>
          <w:color w:val="auto"/>
          <w:sz w:val="32"/>
          <w:szCs w:val="32"/>
          <w:highlight w:val="none"/>
        </w:rPr>
        <w:t>审议，并请区政协各位委员和其他列席会议的同志提出意见。</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rPr>
        <w:t>年区本级预算执行情况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eastAsia="zh-CN"/>
        </w:rPr>
        <w:t>年，在区委、区政府的坚强领导下，在区人大、区政协的监督支持下，我们坚持稳中求进工作总基调，</w:t>
      </w:r>
      <w:r>
        <w:rPr>
          <w:rFonts w:hint="eastAsia" w:ascii="仿宋_GB2312" w:hAnsi="仿宋_GB2312" w:eastAsia="仿宋_GB2312" w:cs="仿宋_GB2312"/>
          <w:color w:val="auto"/>
          <w:sz w:val="32"/>
          <w:szCs w:val="32"/>
          <w:highlight w:val="none"/>
        </w:rPr>
        <w:t>以“增收节支、开源节流”为工作重心，竭力组织财政收入，优化支出结构，提升财政绩效管理水平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防范债务风险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全力保障涉及民生的重点支出</w:t>
      </w:r>
      <w:r>
        <w:rPr>
          <w:rFonts w:hint="eastAsia" w:ascii="仿宋_GB2312" w:hAnsi="仿宋_GB2312" w:eastAsia="仿宋_GB2312" w:cs="仿宋_GB2312"/>
          <w:color w:val="auto"/>
          <w:sz w:val="32"/>
          <w:szCs w:val="32"/>
          <w:highlight w:val="none"/>
          <w:lang w:eastAsia="zh-CN"/>
        </w:rPr>
        <w:t>，有力地促进了我区经济持续健康发展和社会和谐稳定。</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201</w:t>
      </w:r>
      <w:r>
        <w:rPr>
          <w:rFonts w:hint="eastAsia" w:ascii="仿宋_GB2312" w:hAnsi="仿宋_GB2312" w:eastAsia="仿宋_GB2312" w:cs="仿宋_GB2312"/>
          <w:b/>
          <w:color w:val="auto"/>
          <w:sz w:val="32"/>
          <w:szCs w:val="32"/>
          <w:highlight w:val="none"/>
          <w:lang w:val="en-US" w:eastAsia="zh-CN"/>
        </w:rPr>
        <w:t>9</w:t>
      </w:r>
      <w:r>
        <w:rPr>
          <w:rFonts w:hint="eastAsia" w:ascii="仿宋_GB2312" w:hAnsi="仿宋_GB2312" w:eastAsia="仿宋_GB2312" w:cs="仿宋_GB2312"/>
          <w:b/>
          <w:color w:val="auto"/>
          <w:sz w:val="32"/>
          <w:szCs w:val="32"/>
          <w:highlight w:val="none"/>
        </w:rPr>
        <w:t>年预算收支情况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1．一般公共预算执行情况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年，财政总收入</w:t>
      </w:r>
      <w:r>
        <w:rPr>
          <w:rFonts w:hint="eastAsia" w:ascii="仿宋_GB2312" w:hAnsi="仿宋_GB2312" w:eastAsia="仿宋_GB2312" w:cs="仿宋_GB2312"/>
          <w:color w:val="auto"/>
          <w:sz w:val="32"/>
          <w:szCs w:val="32"/>
          <w:highlight w:val="none"/>
          <w:lang w:val="en-US" w:eastAsia="zh-CN"/>
        </w:rPr>
        <w:t>54.02</w:t>
      </w:r>
      <w:r>
        <w:rPr>
          <w:rFonts w:hint="eastAsia" w:ascii="仿宋_GB2312" w:hAnsi="仿宋_GB2312" w:eastAsia="仿宋_GB2312" w:cs="仿宋_GB2312"/>
          <w:color w:val="auto"/>
          <w:sz w:val="32"/>
          <w:szCs w:val="32"/>
          <w:highlight w:val="none"/>
        </w:rPr>
        <w:t>亿元，完成调整预算的</w:t>
      </w:r>
      <w:r>
        <w:rPr>
          <w:rFonts w:hint="eastAsia" w:ascii="仿宋_GB2312" w:hAnsi="仿宋_GB2312" w:eastAsia="仿宋_GB2312" w:cs="仿宋_GB2312"/>
          <w:color w:val="auto"/>
          <w:sz w:val="32"/>
          <w:szCs w:val="32"/>
          <w:highlight w:val="none"/>
          <w:lang w:val="en-US" w:eastAsia="zh-CN"/>
        </w:rPr>
        <w:t>100.4</w:t>
      </w:r>
      <w:r>
        <w:rPr>
          <w:rFonts w:hint="eastAsia" w:ascii="仿宋_GB2312" w:hAnsi="仿宋_GB2312" w:eastAsia="仿宋_GB2312" w:cs="仿宋_GB2312"/>
          <w:color w:val="auto"/>
          <w:sz w:val="32"/>
          <w:szCs w:val="32"/>
          <w:highlight w:val="none"/>
        </w:rPr>
        <w:t>%，同比增长</w:t>
      </w:r>
      <w:r>
        <w:rPr>
          <w:rFonts w:hint="eastAsia" w:ascii="仿宋_GB2312" w:hAnsi="仿宋_GB2312" w:eastAsia="仿宋_GB2312" w:cs="仿宋_GB2312"/>
          <w:color w:val="auto"/>
          <w:sz w:val="32"/>
          <w:szCs w:val="32"/>
          <w:highlight w:val="none"/>
          <w:lang w:val="en-US" w:eastAsia="zh-CN"/>
        </w:rPr>
        <w:t>13.3</w:t>
      </w:r>
      <w:r>
        <w:rPr>
          <w:rFonts w:hint="eastAsia" w:ascii="仿宋_GB2312" w:hAnsi="仿宋_GB2312" w:eastAsia="仿宋_GB2312" w:cs="仿宋_GB2312"/>
          <w:color w:val="auto"/>
          <w:sz w:val="32"/>
          <w:szCs w:val="32"/>
          <w:highlight w:val="none"/>
        </w:rPr>
        <w:t>%，其中：一般公共预算收入</w:t>
      </w:r>
      <w:r>
        <w:rPr>
          <w:rFonts w:hint="eastAsia" w:ascii="仿宋_GB2312" w:hAnsi="仿宋_GB2312" w:eastAsia="仿宋_GB2312" w:cs="仿宋_GB2312"/>
          <w:color w:val="auto"/>
          <w:sz w:val="32"/>
          <w:szCs w:val="32"/>
          <w:highlight w:val="none"/>
          <w:lang w:val="en-US" w:eastAsia="zh-CN"/>
        </w:rPr>
        <w:t>32.16</w:t>
      </w:r>
      <w:r>
        <w:rPr>
          <w:rFonts w:hint="eastAsia" w:ascii="仿宋_GB2312" w:hAnsi="仿宋_GB2312" w:eastAsia="仿宋_GB2312" w:cs="仿宋_GB2312"/>
          <w:color w:val="auto"/>
          <w:sz w:val="32"/>
          <w:szCs w:val="32"/>
          <w:highlight w:val="none"/>
        </w:rPr>
        <w:t>亿元，完成调整预算的</w:t>
      </w:r>
      <w:r>
        <w:rPr>
          <w:rFonts w:hint="eastAsia" w:ascii="仿宋_GB2312" w:hAnsi="仿宋_GB2312" w:eastAsia="仿宋_GB2312" w:cs="仿宋_GB2312"/>
          <w:color w:val="auto"/>
          <w:sz w:val="32"/>
          <w:szCs w:val="32"/>
          <w:highlight w:val="none"/>
          <w:lang w:val="en-US" w:eastAsia="zh-CN"/>
        </w:rPr>
        <w:t>100.7%</w:t>
      </w:r>
      <w:r>
        <w:rPr>
          <w:rFonts w:hint="eastAsia" w:ascii="仿宋_GB2312" w:hAnsi="仿宋_GB2312" w:eastAsia="仿宋_GB2312" w:cs="仿宋_GB2312"/>
          <w:color w:val="auto"/>
          <w:sz w:val="32"/>
          <w:szCs w:val="32"/>
          <w:highlight w:val="none"/>
        </w:rPr>
        <w:t>，同比增长</w:t>
      </w:r>
      <w:r>
        <w:rPr>
          <w:rFonts w:hint="eastAsia" w:ascii="仿宋_GB2312" w:hAnsi="仿宋_GB2312" w:eastAsia="仿宋_GB2312" w:cs="仿宋_GB2312"/>
          <w:color w:val="auto"/>
          <w:sz w:val="32"/>
          <w:szCs w:val="32"/>
          <w:highlight w:val="none"/>
          <w:lang w:val="en-US" w:eastAsia="zh-CN"/>
        </w:rPr>
        <w:t>13.7</w:t>
      </w:r>
      <w:r>
        <w:rPr>
          <w:rFonts w:hint="eastAsia" w:ascii="仿宋_GB2312" w:hAnsi="仿宋_GB2312" w:eastAsia="仿宋_GB2312" w:cs="仿宋_GB2312"/>
          <w:color w:val="auto"/>
          <w:sz w:val="32"/>
          <w:szCs w:val="32"/>
          <w:highlight w:val="none"/>
        </w:rPr>
        <w:t>%。一般公共预算支出</w:t>
      </w:r>
      <w:r>
        <w:rPr>
          <w:rFonts w:hint="eastAsia" w:ascii="仿宋_GB2312" w:hAnsi="仿宋_GB2312" w:eastAsia="仿宋_GB2312" w:cs="仿宋_GB2312"/>
          <w:color w:val="auto"/>
          <w:sz w:val="32"/>
          <w:szCs w:val="32"/>
          <w:highlight w:val="none"/>
          <w:lang w:val="en-US" w:eastAsia="zh-CN"/>
        </w:rPr>
        <w:t>40.00</w:t>
      </w:r>
      <w:r>
        <w:rPr>
          <w:rFonts w:hint="eastAsia" w:ascii="仿宋_GB2312" w:hAnsi="仿宋_GB2312" w:eastAsia="仿宋_GB2312" w:cs="仿宋_GB2312"/>
          <w:color w:val="auto"/>
          <w:sz w:val="32"/>
          <w:szCs w:val="32"/>
          <w:highlight w:val="none"/>
        </w:rPr>
        <w:t>亿元，完成调整预算的</w:t>
      </w:r>
      <w:r>
        <w:rPr>
          <w:rFonts w:hint="eastAsia" w:ascii="仿宋_GB2312" w:hAnsi="仿宋_GB2312" w:eastAsia="仿宋_GB2312" w:cs="仿宋_GB2312"/>
          <w:color w:val="auto"/>
          <w:sz w:val="32"/>
          <w:szCs w:val="32"/>
          <w:highlight w:val="none"/>
          <w:lang w:val="en-US" w:eastAsia="zh-CN"/>
        </w:rPr>
        <w:t>96.5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none"/>
        </w:rPr>
        <w:t>（其中：</w:t>
      </w:r>
      <w:r>
        <w:rPr>
          <w:rFonts w:hint="eastAsia" w:ascii="仿宋_GB2312" w:hAnsi="仿宋_GB2312" w:eastAsia="仿宋_GB2312" w:cs="仿宋_GB2312"/>
          <w:color w:val="auto"/>
          <w:sz w:val="32"/>
          <w:szCs w:val="32"/>
          <w:highlight w:val="none"/>
          <w:u w:val="none"/>
          <w:lang w:val="en-US" w:eastAsia="zh-CN"/>
        </w:rPr>
        <w:t>六个街道</w:t>
      </w:r>
      <w:r>
        <w:rPr>
          <w:rFonts w:hint="eastAsia" w:ascii="仿宋_GB2312" w:hAnsi="仿宋_GB2312" w:eastAsia="仿宋_GB2312" w:cs="仿宋_GB2312"/>
          <w:color w:val="auto"/>
          <w:sz w:val="32"/>
          <w:szCs w:val="32"/>
          <w:highlight w:val="none"/>
          <w:u w:val="none"/>
        </w:rPr>
        <w:t>支出</w:t>
      </w:r>
      <w:r>
        <w:rPr>
          <w:rFonts w:hint="eastAsia" w:ascii="仿宋_GB2312" w:hAnsi="仿宋_GB2312" w:eastAsia="仿宋_GB2312" w:cs="仿宋_GB2312"/>
          <w:color w:val="auto"/>
          <w:sz w:val="32"/>
          <w:szCs w:val="32"/>
          <w:highlight w:val="none"/>
          <w:u w:val="none"/>
          <w:lang w:val="en-US" w:eastAsia="zh-CN"/>
        </w:rPr>
        <w:t>2.37</w:t>
      </w:r>
      <w:r>
        <w:rPr>
          <w:rFonts w:hint="eastAsia" w:ascii="仿宋_GB2312" w:hAnsi="仿宋_GB2312" w:eastAsia="仿宋_GB2312" w:cs="仿宋_GB2312"/>
          <w:color w:val="auto"/>
          <w:sz w:val="32"/>
          <w:szCs w:val="32"/>
          <w:highlight w:val="none"/>
          <w:u w:val="none"/>
        </w:rPr>
        <w:t>亿元，</w:t>
      </w:r>
      <w:r>
        <w:rPr>
          <w:rFonts w:hint="eastAsia" w:ascii="仿宋_GB2312" w:hAnsi="仿宋_GB2312" w:eastAsia="仿宋_GB2312" w:cs="仿宋_GB2312"/>
          <w:color w:val="auto"/>
          <w:sz w:val="32"/>
          <w:szCs w:val="32"/>
          <w:highlight w:val="none"/>
          <w:u w:val="none"/>
          <w:lang w:val="en-US" w:eastAsia="zh-CN"/>
        </w:rPr>
        <w:t>完成调整预算的99.6%</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比上年</w:t>
      </w:r>
      <w:r>
        <w:rPr>
          <w:rFonts w:hint="eastAsia" w:ascii="仿宋_GB2312" w:hAnsi="仿宋_GB2312" w:eastAsia="仿宋_GB2312" w:cs="仿宋_GB2312"/>
          <w:color w:val="auto"/>
          <w:sz w:val="32"/>
          <w:szCs w:val="32"/>
          <w:highlight w:val="none"/>
        </w:rPr>
        <w:t>增长</w:t>
      </w:r>
      <w:r>
        <w:rPr>
          <w:rFonts w:hint="eastAsia" w:ascii="仿宋_GB2312" w:hAnsi="仿宋_GB2312" w:eastAsia="仿宋_GB2312" w:cs="仿宋_GB2312"/>
          <w:color w:val="auto"/>
          <w:sz w:val="32"/>
          <w:szCs w:val="32"/>
          <w:highlight w:val="none"/>
          <w:lang w:val="en-US" w:eastAsia="zh-CN"/>
        </w:rPr>
        <w:t>23.9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剔除不可比因素，同比增长13.0%。</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 w:eastAsia="仿宋_GB2312" w:cs="仿宋"/>
          <w:color w:val="auto"/>
          <w:sz w:val="32"/>
          <w:szCs w:val="32"/>
          <w:highlight w:val="none"/>
        </w:rPr>
        <w:t>根据一般公共预算收支计划，按现行财政体制预计，一般公共预算收入</w:t>
      </w:r>
      <w:r>
        <w:rPr>
          <w:rFonts w:hint="eastAsia" w:ascii="仿宋_GB2312" w:hAnsi="仿宋" w:eastAsia="仿宋_GB2312" w:cs="仿宋"/>
          <w:color w:val="auto"/>
          <w:sz w:val="32"/>
          <w:szCs w:val="32"/>
          <w:highlight w:val="none"/>
          <w:lang w:val="en-US" w:eastAsia="zh-CN"/>
        </w:rPr>
        <w:t>32.16</w:t>
      </w:r>
      <w:r>
        <w:rPr>
          <w:rFonts w:hint="eastAsia" w:ascii="仿宋_GB2312" w:hAnsi="仿宋" w:eastAsia="仿宋_GB2312" w:cs="仿宋"/>
          <w:color w:val="auto"/>
          <w:sz w:val="32"/>
          <w:szCs w:val="32"/>
          <w:highlight w:val="none"/>
        </w:rPr>
        <w:t>亿元，转移性</w:t>
      </w:r>
      <w:r>
        <w:rPr>
          <w:rFonts w:hint="eastAsia" w:ascii="仿宋_GB2312" w:hAnsi="仿宋_GB2312" w:eastAsia="仿宋_GB2312" w:cs="仿宋_GB2312"/>
          <w:color w:val="auto"/>
          <w:sz w:val="32"/>
          <w:szCs w:val="32"/>
          <w:highlight w:val="none"/>
        </w:rPr>
        <w:t>收入等</w:t>
      </w:r>
      <w:r>
        <w:rPr>
          <w:rFonts w:hint="eastAsia" w:ascii="仿宋_GB2312" w:hAnsi="仿宋_GB2312" w:eastAsia="仿宋_GB2312" w:cs="仿宋_GB2312"/>
          <w:color w:val="auto"/>
          <w:sz w:val="32"/>
          <w:szCs w:val="32"/>
          <w:highlight w:val="none"/>
          <w:lang w:val="en-US" w:eastAsia="zh-CN"/>
        </w:rPr>
        <w:t>21.82</w:t>
      </w:r>
      <w:r>
        <w:rPr>
          <w:rFonts w:hint="eastAsia" w:ascii="仿宋_GB2312" w:hAnsi="仿宋_GB2312" w:eastAsia="仿宋_GB2312" w:cs="仿宋_GB2312"/>
          <w:color w:val="auto"/>
          <w:sz w:val="32"/>
          <w:szCs w:val="32"/>
          <w:highlight w:val="none"/>
        </w:rPr>
        <w:t>亿元（包括税收返还收入</w:t>
      </w:r>
      <w:r>
        <w:rPr>
          <w:rFonts w:hint="eastAsia" w:ascii="仿宋_GB2312" w:hAnsi="仿宋_GB2312" w:eastAsia="仿宋_GB2312" w:cs="仿宋_GB2312"/>
          <w:color w:val="auto"/>
          <w:sz w:val="32"/>
          <w:szCs w:val="32"/>
          <w:highlight w:val="none"/>
          <w:lang w:val="en-US" w:eastAsia="zh-CN"/>
        </w:rPr>
        <w:t>0.95</w:t>
      </w:r>
      <w:r>
        <w:rPr>
          <w:rFonts w:hint="eastAsia" w:ascii="仿宋_GB2312" w:hAnsi="仿宋_GB2312" w:eastAsia="仿宋_GB2312" w:cs="仿宋_GB2312"/>
          <w:color w:val="auto"/>
          <w:sz w:val="32"/>
          <w:szCs w:val="32"/>
          <w:highlight w:val="none"/>
        </w:rPr>
        <w:t>亿元，上级转移支付</w:t>
      </w:r>
      <w:r>
        <w:rPr>
          <w:rFonts w:hint="eastAsia" w:ascii="仿宋_GB2312" w:hAnsi="仿宋_GB2312" w:eastAsia="仿宋_GB2312" w:cs="仿宋_GB2312"/>
          <w:color w:val="auto"/>
          <w:sz w:val="32"/>
          <w:szCs w:val="32"/>
          <w:highlight w:val="none"/>
          <w:lang w:val="en-US" w:eastAsia="zh-CN"/>
        </w:rPr>
        <w:t>8.71</w:t>
      </w:r>
      <w:r>
        <w:rPr>
          <w:rFonts w:hint="eastAsia" w:ascii="仿宋_GB2312" w:hAnsi="仿宋_GB2312" w:eastAsia="仿宋_GB2312" w:cs="仿宋_GB2312"/>
          <w:color w:val="auto"/>
          <w:sz w:val="32"/>
          <w:szCs w:val="32"/>
          <w:highlight w:val="none"/>
        </w:rPr>
        <w:t>亿元，政府性基金调入</w:t>
      </w:r>
      <w:r>
        <w:rPr>
          <w:rFonts w:hint="eastAsia" w:ascii="仿宋_GB2312" w:hAnsi="仿宋_GB2312" w:eastAsia="仿宋_GB2312" w:cs="仿宋_GB2312"/>
          <w:color w:val="auto"/>
          <w:sz w:val="32"/>
          <w:szCs w:val="32"/>
          <w:highlight w:val="none"/>
          <w:lang w:val="en-US" w:eastAsia="zh-CN"/>
        </w:rPr>
        <w:t>8.67</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val="en-US" w:eastAsia="zh-CN"/>
        </w:rPr>
        <w:t>其他资金调入0.07亿元，动用预算稳定调节基金0.64亿元，</w:t>
      </w:r>
      <w:r>
        <w:rPr>
          <w:rFonts w:hint="eastAsia" w:ascii="仿宋_GB2312" w:hAnsi="仿宋_GB2312" w:eastAsia="仿宋_GB2312" w:cs="仿宋_GB2312"/>
          <w:color w:val="auto"/>
          <w:sz w:val="32"/>
          <w:szCs w:val="32"/>
          <w:highlight w:val="none"/>
        </w:rPr>
        <w:t>上年结转</w:t>
      </w:r>
      <w:r>
        <w:rPr>
          <w:rFonts w:hint="eastAsia" w:ascii="仿宋_GB2312" w:hAnsi="仿宋_GB2312" w:eastAsia="仿宋_GB2312" w:cs="仿宋_GB2312"/>
          <w:color w:val="auto"/>
          <w:sz w:val="32"/>
          <w:szCs w:val="32"/>
          <w:highlight w:val="none"/>
          <w:lang w:val="en-US" w:eastAsia="zh-CN"/>
        </w:rPr>
        <w:t>2.78</w:t>
      </w:r>
      <w:r>
        <w:rPr>
          <w:rFonts w:hint="eastAsia" w:ascii="仿宋_GB2312" w:hAnsi="仿宋_GB2312" w:eastAsia="仿宋_GB2312" w:cs="仿宋_GB2312"/>
          <w:color w:val="auto"/>
          <w:sz w:val="32"/>
          <w:szCs w:val="32"/>
          <w:highlight w:val="none"/>
        </w:rPr>
        <w:t>亿元），收入合计</w:t>
      </w:r>
      <w:r>
        <w:rPr>
          <w:rFonts w:hint="eastAsia" w:ascii="仿宋_GB2312" w:hAnsi="仿宋_GB2312" w:eastAsia="仿宋_GB2312" w:cs="仿宋_GB2312"/>
          <w:color w:val="auto"/>
          <w:sz w:val="32"/>
          <w:szCs w:val="32"/>
          <w:highlight w:val="none"/>
          <w:lang w:val="en-US" w:eastAsia="zh-CN"/>
        </w:rPr>
        <w:t>53.98</w:t>
      </w:r>
      <w:r>
        <w:rPr>
          <w:rFonts w:hint="eastAsia" w:ascii="仿宋_GB2312" w:hAnsi="仿宋_GB2312" w:eastAsia="仿宋_GB2312" w:cs="仿宋_GB2312"/>
          <w:color w:val="auto"/>
          <w:sz w:val="32"/>
          <w:szCs w:val="32"/>
          <w:highlight w:val="none"/>
        </w:rPr>
        <w:t>亿元。一般公共预算支出</w:t>
      </w:r>
      <w:r>
        <w:rPr>
          <w:rFonts w:hint="eastAsia" w:ascii="仿宋_GB2312" w:hAnsi="仿宋_GB2312" w:eastAsia="仿宋_GB2312" w:cs="仿宋_GB2312"/>
          <w:color w:val="auto"/>
          <w:sz w:val="32"/>
          <w:szCs w:val="32"/>
          <w:highlight w:val="none"/>
          <w:lang w:val="en-US" w:eastAsia="zh-CN"/>
        </w:rPr>
        <w:t>40.00</w:t>
      </w:r>
      <w:r>
        <w:rPr>
          <w:rFonts w:hint="eastAsia" w:ascii="仿宋_GB2312" w:hAnsi="仿宋_GB2312" w:eastAsia="仿宋_GB2312" w:cs="仿宋_GB2312"/>
          <w:color w:val="auto"/>
          <w:sz w:val="32"/>
          <w:szCs w:val="32"/>
          <w:highlight w:val="none"/>
        </w:rPr>
        <w:t>亿元，转移性支出等</w:t>
      </w:r>
      <w:r>
        <w:rPr>
          <w:rFonts w:hint="eastAsia" w:ascii="仿宋_GB2312" w:hAnsi="仿宋_GB2312" w:eastAsia="仿宋_GB2312" w:cs="仿宋_GB2312"/>
          <w:color w:val="auto"/>
          <w:sz w:val="32"/>
          <w:szCs w:val="32"/>
          <w:highlight w:val="none"/>
          <w:lang w:val="en-US" w:eastAsia="zh-CN"/>
        </w:rPr>
        <w:t>13.98</w:t>
      </w:r>
      <w:r>
        <w:rPr>
          <w:rFonts w:hint="eastAsia" w:ascii="仿宋_GB2312" w:hAnsi="仿宋_GB2312" w:eastAsia="仿宋_GB2312" w:cs="仿宋_GB2312"/>
          <w:color w:val="auto"/>
          <w:sz w:val="32"/>
          <w:szCs w:val="32"/>
          <w:highlight w:val="none"/>
        </w:rPr>
        <w:t>亿元（包括体制上解支出</w:t>
      </w:r>
      <w:r>
        <w:rPr>
          <w:rFonts w:hint="eastAsia" w:ascii="仿宋_GB2312" w:hAnsi="仿宋_GB2312" w:eastAsia="仿宋_GB2312" w:cs="仿宋_GB2312"/>
          <w:color w:val="auto"/>
          <w:sz w:val="32"/>
          <w:szCs w:val="32"/>
          <w:highlight w:val="none"/>
          <w:lang w:val="en-US" w:eastAsia="zh-CN"/>
        </w:rPr>
        <w:t>12.45</w:t>
      </w:r>
      <w:r>
        <w:rPr>
          <w:rFonts w:hint="eastAsia" w:ascii="仿宋_GB2312" w:hAnsi="仿宋_GB2312" w:eastAsia="仿宋_GB2312" w:cs="仿宋_GB2312"/>
          <w:color w:val="auto"/>
          <w:sz w:val="32"/>
          <w:szCs w:val="32"/>
          <w:highlight w:val="none"/>
        </w:rPr>
        <w:t>亿元，援助其他地区支出</w:t>
      </w:r>
      <w:r>
        <w:rPr>
          <w:rFonts w:hint="eastAsia" w:ascii="仿宋_GB2312" w:hAnsi="仿宋_GB2312" w:eastAsia="仿宋_GB2312" w:cs="仿宋_GB2312"/>
          <w:color w:val="auto"/>
          <w:sz w:val="32"/>
          <w:szCs w:val="32"/>
          <w:highlight w:val="none"/>
          <w:lang w:val="en-US" w:eastAsia="zh-CN"/>
        </w:rPr>
        <w:t>0.21</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val="en-US" w:eastAsia="zh-CN"/>
        </w:rPr>
        <w:t>安排预算稳定调节基金0.22亿元，结转下年1.1亿元</w:t>
      </w:r>
      <w:r>
        <w:rPr>
          <w:rFonts w:hint="eastAsia" w:ascii="仿宋_GB2312" w:hAnsi="仿宋_GB2312" w:eastAsia="仿宋_GB2312" w:cs="仿宋_GB2312"/>
          <w:color w:val="auto"/>
          <w:sz w:val="32"/>
          <w:szCs w:val="32"/>
          <w:highlight w:val="none"/>
        </w:rPr>
        <w:t>），支出合计</w:t>
      </w:r>
      <w:r>
        <w:rPr>
          <w:rFonts w:hint="eastAsia" w:ascii="仿宋_GB2312" w:hAnsi="仿宋_GB2312" w:eastAsia="仿宋_GB2312" w:cs="仿宋_GB2312"/>
          <w:color w:val="auto"/>
          <w:sz w:val="32"/>
          <w:szCs w:val="32"/>
          <w:highlight w:val="none"/>
          <w:lang w:val="en-US" w:eastAsia="zh-CN"/>
        </w:rPr>
        <w:t>53.98</w:t>
      </w:r>
      <w:r>
        <w:rPr>
          <w:rFonts w:hint="eastAsia" w:ascii="仿宋_GB2312" w:hAnsi="仿宋_GB2312" w:eastAsia="仿宋_GB2312" w:cs="仿宋_GB2312"/>
          <w:color w:val="auto"/>
          <w:sz w:val="32"/>
          <w:szCs w:val="32"/>
          <w:highlight w:val="none"/>
        </w:rPr>
        <w:t>亿元。收支相抵，一般公共预算收支预计平衡</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年一般公共预算收支执行具体情况如下：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201</w:t>
      </w: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年一般公共预算收入主要</w:t>
      </w:r>
      <w:r>
        <w:rPr>
          <w:rFonts w:ascii="仿宋_GB2312" w:hAnsi="仿宋_GB2312" w:eastAsia="仿宋_GB2312" w:cs="仿宋_GB2312"/>
          <w:b/>
          <w:bCs/>
          <w:color w:val="auto"/>
          <w:sz w:val="32"/>
          <w:szCs w:val="32"/>
          <w:highlight w:val="none"/>
        </w:rPr>
        <w:t>科目</w:t>
      </w:r>
      <w:r>
        <w:rPr>
          <w:rFonts w:hint="eastAsia" w:ascii="仿宋_GB2312" w:hAnsi="仿宋_GB2312" w:eastAsia="仿宋_GB2312" w:cs="仿宋_GB2312"/>
          <w:b/>
          <w:bCs/>
          <w:color w:val="auto"/>
          <w:sz w:val="32"/>
          <w:szCs w:val="32"/>
          <w:highlight w:val="none"/>
        </w:rPr>
        <w:t>完成</w:t>
      </w:r>
      <w:r>
        <w:rPr>
          <w:rFonts w:ascii="仿宋_GB2312" w:hAnsi="仿宋_GB2312" w:eastAsia="仿宋_GB2312" w:cs="仿宋_GB2312"/>
          <w:b/>
          <w:bCs/>
          <w:color w:val="auto"/>
          <w:sz w:val="32"/>
          <w:szCs w:val="32"/>
          <w:highlight w:val="none"/>
        </w:rPr>
        <w:t>及占比情况（</w:t>
      </w:r>
      <w:r>
        <w:rPr>
          <w:rFonts w:hint="eastAsia" w:ascii="仿宋_GB2312" w:hAnsi="仿宋_GB2312" w:eastAsia="仿宋_GB2312" w:cs="仿宋_GB2312"/>
          <w:b/>
          <w:bCs/>
          <w:color w:val="auto"/>
          <w:sz w:val="32"/>
          <w:szCs w:val="32"/>
          <w:highlight w:val="none"/>
        </w:rPr>
        <w:t>图</w:t>
      </w:r>
      <w:r>
        <w:rPr>
          <w:rFonts w:ascii="仿宋_GB2312" w:hAnsi="仿宋_GB2312" w:eastAsia="仿宋_GB2312" w:cs="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color w:val="auto"/>
          <w:highlight w:val="none"/>
          <w:lang w:val="en-US" w:eastAsia="zh-CN"/>
        </w:rPr>
      </w:pPr>
      <w:r>
        <w:rPr>
          <w:color w:val="auto"/>
          <w:highlight w:val="none"/>
        </w:rPr>
        <w:drawing>
          <wp:anchor distT="0" distB="0" distL="114300" distR="114300" simplePos="0" relativeHeight="251658240" behindDoc="1" locked="0" layoutInCell="1" allowOverlap="1">
            <wp:simplePos x="0" y="0"/>
            <wp:positionH relativeFrom="column">
              <wp:posOffset>-276860</wp:posOffset>
            </wp:positionH>
            <wp:positionV relativeFrom="paragraph">
              <wp:posOffset>90805</wp:posOffset>
            </wp:positionV>
            <wp:extent cx="6314440" cy="3636645"/>
            <wp:effectExtent l="4445" t="4445" r="5715" b="16510"/>
            <wp:wrapTight wrapText="bothSides">
              <wp:wrapPolygon>
                <wp:start x="-15" y="-26"/>
                <wp:lineTo x="-15" y="21472"/>
                <wp:lineTo x="21554" y="21472"/>
                <wp:lineTo x="21554" y="-26"/>
                <wp:lineTo x="-15" y="-26"/>
              </wp:wrapPolygon>
            </wp:wrapTight>
            <wp:docPr id="107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color w:val="auto"/>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b/>
          <w:bCs/>
          <w:color w:val="auto"/>
          <w:highlight w:val="none"/>
          <w:lang w:val="en-US" w:eastAsia="zh-CN"/>
        </w:rPr>
      </w:pPr>
      <w:r>
        <w:rPr>
          <w:rFonts w:hint="eastAsia" w:ascii="仿宋_GB2312" w:hAnsi="仿宋_GB2312" w:eastAsia="仿宋_GB2312" w:cs="仿宋_GB2312"/>
          <w:b/>
          <w:bCs/>
          <w:color w:val="auto"/>
          <w:sz w:val="32"/>
          <w:szCs w:val="32"/>
          <w:highlight w:val="none"/>
        </w:rPr>
        <w:t>201</w:t>
      </w: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年一般公共预算支出主要</w:t>
      </w:r>
      <w:r>
        <w:rPr>
          <w:rFonts w:ascii="仿宋_GB2312" w:hAnsi="仿宋_GB2312" w:eastAsia="仿宋_GB2312" w:cs="仿宋_GB2312"/>
          <w:b/>
          <w:bCs/>
          <w:color w:val="auto"/>
          <w:sz w:val="32"/>
          <w:szCs w:val="32"/>
          <w:highlight w:val="none"/>
        </w:rPr>
        <w:t>科目</w:t>
      </w:r>
      <w:r>
        <w:rPr>
          <w:rFonts w:hint="eastAsia" w:ascii="仿宋_GB2312" w:hAnsi="仿宋_GB2312" w:eastAsia="仿宋_GB2312" w:cs="仿宋_GB2312"/>
          <w:b/>
          <w:bCs/>
          <w:color w:val="auto"/>
          <w:sz w:val="32"/>
          <w:szCs w:val="32"/>
          <w:highlight w:val="none"/>
        </w:rPr>
        <w:t>完成</w:t>
      </w:r>
      <w:r>
        <w:rPr>
          <w:rFonts w:ascii="仿宋_GB2312" w:hAnsi="仿宋_GB2312" w:eastAsia="仿宋_GB2312" w:cs="仿宋_GB2312"/>
          <w:b/>
          <w:bCs/>
          <w:color w:val="auto"/>
          <w:sz w:val="32"/>
          <w:szCs w:val="32"/>
          <w:highlight w:val="none"/>
        </w:rPr>
        <w:t>情况（</w:t>
      </w:r>
      <w:r>
        <w:rPr>
          <w:rFonts w:hint="eastAsia" w:ascii="仿宋_GB2312" w:hAnsi="仿宋_GB2312" w:eastAsia="仿宋_GB2312" w:cs="仿宋_GB2312"/>
          <w:b/>
          <w:bCs/>
          <w:color w:val="auto"/>
          <w:sz w:val="32"/>
          <w:szCs w:val="32"/>
          <w:highlight w:val="none"/>
        </w:rPr>
        <w:t>图</w:t>
      </w:r>
      <w:r>
        <w:rPr>
          <w:rFonts w:ascii="仿宋_GB2312" w:hAnsi="仿宋_GB2312" w:eastAsia="仿宋_GB2312" w:cs="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color w:val="auto"/>
          <w:highlight w:val="none"/>
          <w:lang w:val="en-US" w:eastAsia="zh-CN"/>
        </w:rPr>
      </w:pPr>
      <w:r>
        <w:rPr>
          <w:color w:val="auto"/>
          <w:highlight w:val="none"/>
        </w:rPr>
        <w:drawing>
          <wp:anchor distT="0" distB="0" distL="114300" distR="114300" simplePos="0" relativeHeight="251662336" behindDoc="1" locked="0" layoutInCell="1" allowOverlap="1">
            <wp:simplePos x="0" y="0"/>
            <wp:positionH relativeFrom="column">
              <wp:posOffset>-543560</wp:posOffset>
            </wp:positionH>
            <wp:positionV relativeFrom="paragraph">
              <wp:posOffset>155575</wp:posOffset>
            </wp:positionV>
            <wp:extent cx="6891020" cy="3388360"/>
            <wp:effectExtent l="5080" t="4445" r="19050" b="17145"/>
            <wp:wrapTight wrapText="bothSides">
              <wp:wrapPolygon>
                <wp:start x="-16" y="-28"/>
                <wp:lineTo x="-16" y="21466"/>
                <wp:lineTo x="21540" y="21466"/>
                <wp:lineTo x="21540" y="-28"/>
                <wp:lineTo x="-16" y="-28"/>
              </wp:wrapPolygon>
            </wp:wrapTight>
            <wp:docPr id="107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基本支出按经济科目分类，机关工资福利支出</w:t>
      </w:r>
      <w:r>
        <w:rPr>
          <w:rFonts w:hint="eastAsia" w:ascii="仿宋_GB2312" w:hAnsi="仿宋_GB2312" w:eastAsia="仿宋_GB2312" w:cs="仿宋_GB2312"/>
          <w:color w:val="auto"/>
          <w:sz w:val="32"/>
          <w:szCs w:val="32"/>
          <w:highlight w:val="none"/>
          <w:lang w:val="en-US" w:eastAsia="zh-CN"/>
        </w:rPr>
        <w:t>8.86</w:t>
      </w:r>
      <w:r>
        <w:rPr>
          <w:rFonts w:hint="eastAsia" w:ascii="仿宋_GB2312" w:hAnsi="仿宋_GB2312" w:eastAsia="仿宋_GB2312" w:cs="仿宋_GB2312"/>
          <w:color w:val="auto"/>
          <w:sz w:val="32"/>
          <w:szCs w:val="32"/>
          <w:highlight w:val="none"/>
        </w:rPr>
        <w:t>亿元，机关商品和服务支出</w:t>
      </w:r>
      <w:r>
        <w:rPr>
          <w:rFonts w:hint="eastAsia" w:ascii="仿宋_GB2312" w:hAnsi="仿宋_GB2312" w:eastAsia="仿宋_GB2312" w:cs="仿宋_GB2312"/>
          <w:color w:val="auto"/>
          <w:sz w:val="32"/>
          <w:szCs w:val="32"/>
          <w:highlight w:val="none"/>
          <w:lang w:val="en-US" w:eastAsia="zh-CN"/>
        </w:rPr>
        <w:t>6099</w:t>
      </w:r>
      <w:r>
        <w:rPr>
          <w:rFonts w:hint="eastAsia" w:ascii="仿宋_GB2312" w:hAnsi="仿宋_GB2312" w:eastAsia="仿宋_GB2312" w:cs="仿宋_GB2312"/>
          <w:color w:val="auto"/>
          <w:sz w:val="32"/>
          <w:szCs w:val="32"/>
          <w:highlight w:val="none"/>
        </w:rPr>
        <w:t>万元，机关资本性支出</w:t>
      </w:r>
      <w:r>
        <w:rPr>
          <w:rFonts w:hint="eastAsia" w:ascii="仿宋_GB2312" w:hAnsi="仿宋_GB2312" w:eastAsia="仿宋_GB2312" w:cs="仿宋_GB2312"/>
          <w:color w:val="auto"/>
          <w:sz w:val="32"/>
          <w:szCs w:val="32"/>
          <w:highlight w:val="none"/>
          <w:lang w:val="en-US" w:eastAsia="zh-CN"/>
        </w:rPr>
        <w:t>213</w:t>
      </w:r>
      <w:r>
        <w:rPr>
          <w:rFonts w:hint="eastAsia" w:ascii="仿宋_GB2312" w:hAnsi="仿宋_GB2312" w:eastAsia="仿宋_GB2312" w:cs="仿宋_GB2312"/>
          <w:color w:val="auto"/>
          <w:sz w:val="32"/>
          <w:szCs w:val="32"/>
          <w:highlight w:val="none"/>
        </w:rPr>
        <w:t>万元，对事业单位经常性补助</w:t>
      </w:r>
      <w:r>
        <w:rPr>
          <w:rFonts w:hint="eastAsia" w:ascii="仿宋_GB2312" w:hAnsi="仿宋_GB2312" w:eastAsia="仿宋_GB2312" w:cs="仿宋_GB2312"/>
          <w:color w:val="auto"/>
          <w:sz w:val="32"/>
          <w:szCs w:val="32"/>
          <w:highlight w:val="none"/>
          <w:lang w:val="en-US" w:eastAsia="zh-CN"/>
        </w:rPr>
        <w:t>11.93</w:t>
      </w:r>
      <w:r>
        <w:rPr>
          <w:rFonts w:hint="eastAsia" w:ascii="仿宋_GB2312" w:hAnsi="仿宋_GB2312" w:eastAsia="仿宋_GB2312" w:cs="仿宋_GB2312"/>
          <w:color w:val="auto"/>
          <w:sz w:val="32"/>
          <w:szCs w:val="32"/>
          <w:highlight w:val="none"/>
        </w:rPr>
        <w:t>亿元，对事业单位资本性补助</w:t>
      </w:r>
      <w:r>
        <w:rPr>
          <w:rFonts w:hint="eastAsia" w:ascii="仿宋_GB2312" w:hAnsi="仿宋_GB2312" w:eastAsia="仿宋_GB2312" w:cs="仿宋_GB2312"/>
          <w:color w:val="auto"/>
          <w:sz w:val="32"/>
          <w:szCs w:val="32"/>
          <w:highlight w:val="none"/>
          <w:lang w:val="en-US" w:eastAsia="zh-CN"/>
        </w:rPr>
        <w:t>296</w:t>
      </w:r>
      <w:r>
        <w:rPr>
          <w:rFonts w:hint="eastAsia" w:ascii="仿宋_GB2312" w:hAnsi="仿宋_GB2312" w:eastAsia="仿宋_GB2312" w:cs="仿宋_GB2312"/>
          <w:color w:val="auto"/>
          <w:sz w:val="32"/>
          <w:szCs w:val="32"/>
          <w:highlight w:val="none"/>
        </w:rPr>
        <w:t>万元，对个人和家庭补助支出</w:t>
      </w:r>
      <w:r>
        <w:rPr>
          <w:rFonts w:hint="eastAsia" w:ascii="仿宋_GB2312" w:hAnsi="仿宋_GB2312" w:eastAsia="仿宋_GB2312" w:cs="仿宋_GB2312"/>
          <w:color w:val="auto"/>
          <w:sz w:val="32"/>
          <w:szCs w:val="32"/>
          <w:highlight w:val="none"/>
          <w:lang w:val="en-US" w:eastAsia="zh-CN"/>
        </w:rPr>
        <w:t>1431</w:t>
      </w:r>
      <w:r>
        <w:rPr>
          <w:rFonts w:hint="eastAsia" w:ascii="仿宋_GB2312" w:hAnsi="仿宋_GB2312" w:eastAsia="仿宋_GB2312" w:cs="仿宋_GB2312"/>
          <w:color w:val="auto"/>
          <w:sz w:val="32"/>
          <w:szCs w:val="32"/>
          <w:highlight w:val="none"/>
        </w:rPr>
        <w:t>万元，合计</w:t>
      </w:r>
      <w:r>
        <w:rPr>
          <w:rFonts w:hint="eastAsia" w:ascii="仿宋_GB2312" w:hAnsi="仿宋_GB2312" w:eastAsia="仿宋_GB2312" w:cs="仿宋_GB2312"/>
          <w:color w:val="auto"/>
          <w:sz w:val="32"/>
          <w:szCs w:val="32"/>
          <w:highlight w:val="none"/>
          <w:lang w:val="en-US" w:eastAsia="zh-CN"/>
        </w:rPr>
        <w:t>21.59</w:t>
      </w:r>
      <w:r>
        <w:rPr>
          <w:rFonts w:hint="eastAsia" w:ascii="仿宋_GB2312" w:hAnsi="仿宋_GB2312" w:eastAsia="仿宋_GB2312" w:cs="仿宋_GB2312"/>
          <w:color w:val="auto"/>
          <w:sz w:val="32"/>
          <w:szCs w:val="32"/>
          <w:highlight w:val="none"/>
        </w:rPr>
        <w:t>亿元，完成调整预算的</w:t>
      </w:r>
      <w:r>
        <w:rPr>
          <w:rFonts w:hint="eastAsia" w:ascii="仿宋_GB2312" w:hAnsi="仿宋_GB2312" w:eastAsia="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据初步汇总，2019年区本级一般公共预算安排的“三公”经费支出预计执行数1338万元，比上年下降8.5%，其中：因公出国（境）费用65万元，下降25.1%；公务接待费用165万元，增长4.5%；公车购置费520万元，下降16.8%；车辆运行经费588万元，下降0.8%。</w:t>
      </w:r>
    </w:p>
    <w:p>
      <w:pPr>
        <w:keepNext w:val="0"/>
        <w:keepLines w:val="0"/>
        <w:pageBreakBefore w:val="0"/>
        <w:kinsoku/>
        <w:wordWrap/>
        <w:overflowPunct/>
        <w:topLinePunct w:val="0"/>
        <w:autoSpaceDE/>
        <w:autoSpaceDN/>
        <w:bidi w:val="0"/>
        <w:spacing w:line="560" w:lineRule="exact"/>
        <w:ind w:firstLine="627" w:firstLineChars="196"/>
        <w:textAlignment w:val="auto"/>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2．政府性基金预算执行情况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pacing w:val="-8"/>
          <w:sz w:val="32"/>
          <w:szCs w:val="32"/>
          <w:highlight w:val="none"/>
        </w:rPr>
        <w:t>政府性基金预算收入</w:t>
      </w:r>
      <w:r>
        <w:rPr>
          <w:rFonts w:hint="eastAsia" w:ascii="仿宋_GB2312" w:hAnsi="仿宋_GB2312" w:eastAsia="仿宋_GB2312" w:cs="仿宋_GB2312"/>
          <w:color w:val="auto"/>
          <w:spacing w:val="-8"/>
          <w:sz w:val="32"/>
          <w:szCs w:val="32"/>
          <w:highlight w:val="none"/>
          <w:lang w:val="en-US" w:eastAsia="zh-CN"/>
        </w:rPr>
        <w:t>54.24</w:t>
      </w:r>
      <w:r>
        <w:rPr>
          <w:rFonts w:hint="eastAsia" w:ascii="仿宋_GB2312" w:hAnsi="仿宋_GB2312" w:eastAsia="仿宋_GB2312" w:cs="仿宋_GB2312"/>
          <w:color w:val="auto"/>
          <w:spacing w:val="-8"/>
          <w:sz w:val="32"/>
          <w:szCs w:val="32"/>
          <w:highlight w:val="none"/>
        </w:rPr>
        <w:t>亿元</w:t>
      </w:r>
      <w:r>
        <w:rPr>
          <w:rFonts w:hint="eastAsia" w:ascii="仿宋_GB2312" w:hAnsi="仿宋_GB2312" w:eastAsia="仿宋_GB2312" w:cs="仿宋_GB2312"/>
          <w:color w:val="auto"/>
          <w:sz w:val="32"/>
          <w:szCs w:val="32"/>
          <w:highlight w:val="none"/>
        </w:rPr>
        <w:t>，完成调整预算的</w:t>
      </w:r>
      <w:r>
        <w:rPr>
          <w:rFonts w:hint="eastAsia" w:ascii="仿宋_GB2312" w:hAnsi="仿宋_GB2312" w:eastAsia="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rPr>
        <w:t>%，同比</w:t>
      </w:r>
      <w:r>
        <w:rPr>
          <w:rFonts w:hint="eastAsia" w:ascii="仿宋_GB2312" w:hAnsi="仿宋_GB2312" w:eastAsia="仿宋_GB2312" w:cs="仿宋_GB2312"/>
          <w:color w:val="auto"/>
          <w:sz w:val="32"/>
          <w:szCs w:val="32"/>
          <w:highlight w:val="none"/>
          <w:lang w:val="en-US" w:eastAsia="zh-CN"/>
        </w:rPr>
        <w:t>增长35.2</w:t>
      </w:r>
      <w:r>
        <w:rPr>
          <w:rFonts w:hint="eastAsia" w:ascii="仿宋_GB2312" w:hAnsi="仿宋_GB2312" w:eastAsia="仿宋_GB2312" w:cs="仿宋_GB2312"/>
          <w:color w:val="auto"/>
          <w:sz w:val="32"/>
          <w:szCs w:val="32"/>
          <w:highlight w:val="none"/>
        </w:rPr>
        <w:t>%；政府性基金预算支出</w:t>
      </w:r>
      <w:r>
        <w:rPr>
          <w:rFonts w:hint="eastAsia" w:ascii="仿宋_GB2312" w:hAnsi="仿宋_GB2312" w:eastAsia="仿宋_GB2312" w:cs="仿宋_GB2312"/>
          <w:color w:val="auto"/>
          <w:sz w:val="32"/>
          <w:szCs w:val="32"/>
          <w:highlight w:val="none"/>
          <w:lang w:val="en-US" w:eastAsia="zh-CN"/>
        </w:rPr>
        <w:t>82.97</w:t>
      </w:r>
      <w:r>
        <w:rPr>
          <w:rFonts w:hint="eastAsia" w:ascii="仿宋_GB2312" w:hAnsi="仿宋_GB2312" w:eastAsia="仿宋_GB2312" w:cs="仿宋_GB2312"/>
          <w:color w:val="auto"/>
          <w:sz w:val="32"/>
          <w:szCs w:val="32"/>
          <w:highlight w:val="none"/>
        </w:rPr>
        <w:t>亿元，完成调整预算的</w:t>
      </w:r>
      <w:r>
        <w:rPr>
          <w:rFonts w:hint="eastAsia" w:ascii="仿宋_GB2312" w:hAnsi="仿宋_GB2312" w:eastAsia="仿宋_GB2312" w:cs="仿宋_GB2312"/>
          <w:color w:val="auto"/>
          <w:sz w:val="32"/>
          <w:szCs w:val="32"/>
          <w:highlight w:val="none"/>
          <w:lang w:val="en-US" w:eastAsia="zh-CN"/>
        </w:rPr>
        <w:t>97.6</w:t>
      </w:r>
      <w:r>
        <w:rPr>
          <w:rFonts w:hint="eastAsia" w:ascii="仿宋_GB2312" w:hAnsi="仿宋_GB2312" w:eastAsia="仿宋_GB2312" w:cs="仿宋_GB2312"/>
          <w:color w:val="auto"/>
          <w:sz w:val="32"/>
          <w:szCs w:val="32"/>
          <w:highlight w:val="none"/>
        </w:rPr>
        <w:t>%，同比</w:t>
      </w:r>
      <w:r>
        <w:rPr>
          <w:rFonts w:hint="eastAsia" w:ascii="仿宋_GB2312" w:hAnsi="仿宋_GB2312" w:eastAsia="仿宋_GB2312" w:cs="仿宋_GB2312"/>
          <w:color w:val="auto"/>
          <w:sz w:val="32"/>
          <w:szCs w:val="32"/>
          <w:highlight w:val="none"/>
          <w:lang w:val="en-US" w:eastAsia="zh-CN"/>
        </w:rPr>
        <w:t>增长63.4</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rPr>
        <w:t>根据政府性基金收支计划，按现行财政体制预计，政府性基金预算收入</w:t>
      </w:r>
      <w:r>
        <w:rPr>
          <w:rFonts w:hint="eastAsia" w:ascii="仿宋_GB2312" w:hAnsi="仿宋_GB2312" w:eastAsia="仿宋_GB2312" w:cs="仿宋_GB2312"/>
          <w:color w:val="auto"/>
          <w:sz w:val="32"/>
          <w:szCs w:val="32"/>
          <w:highlight w:val="none"/>
          <w:lang w:val="en-US" w:eastAsia="zh-CN"/>
        </w:rPr>
        <w:t>54.24</w:t>
      </w:r>
      <w:r>
        <w:rPr>
          <w:rFonts w:hint="eastAsia" w:ascii="仿宋_GB2312" w:hAnsi="仿宋_GB2312" w:eastAsia="仿宋_GB2312" w:cs="仿宋_GB2312"/>
          <w:color w:val="auto"/>
          <w:sz w:val="32"/>
          <w:szCs w:val="32"/>
          <w:highlight w:val="none"/>
        </w:rPr>
        <w:t>亿元，转移性收入等</w:t>
      </w:r>
      <w:r>
        <w:rPr>
          <w:rFonts w:hint="eastAsia" w:ascii="仿宋_GB2312" w:hAnsi="仿宋_GB2312" w:eastAsia="仿宋_GB2312" w:cs="仿宋_GB2312"/>
          <w:color w:val="auto"/>
          <w:sz w:val="32"/>
          <w:szCs w:val="32"/>
          <w:highlight w:val="none"/>
          <w:lang w:val="en-US" w:eastAsia="zh-CN"/>
        </w:rPr>
        <w:t>38.28</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包括</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21.16</w:t>
      </w:r>
      <w:r>
        <w:rPr>
          <w:rFonts w:hint="eastAsia" w:ascii="仿宋_GB2312" w:hAnsi="仿宋_GB2312" w:eastAsia="仿宋_GB2312" w:cs="仿宋_GB2312"/>
          <w:color w:val="auto"/>
          <w:sz w:val="32"/>
          <w:szCs w:val="32"/>
          <w:highlight w:val="none"/>
        </w:rPr>
        <w:t>亿元，地方政府专项债务转贷收入</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亿元，上年结转</w:t>
      </w:r>
      <w:r>
        <w:rPr>
          <w:rFonts w:hint="eastAsia" w:ascii="仿宋_GB2312" w:hAnsi="仿宋_GB2312" w:eastAsia="仿宋_GB2312" w:cs="仿宋_GB2312"/>
          <w:color w:val="auto"/>
          <w:sz w:val="32"/>
          <w:szCs w:val="32"/>
          <w:highlight w:val="none"/>
          <w:lang w:val="en-US" w:eastAsia="zh-CN"/>
        </w:rPr>
        <w:t>2.12</w:t>
      </w:r>
      <w:r>
        <w:rPr>
          <w:rFonts w:hint="eastAsia" w:ascii="仿宋_GB2312" w:hAnsi="仿宋_GB2312" w:eastAsia="仿宋_GB2312" w:cs="仿宋_GB2312"/>
          <w:color w:val="auto"/>
          <w:sz w:val="32"/>
          <w:szCs w:val="32"/>
          <w:highlight w:val="none"/>
        </w:rPr>
        <w:t>亿元），收入合计</w:t>
      </w:r>
      <w:r>
        <w:rPr>
          <w:rFonts w:hint="eastAsia" w:ascii="仿宋_GB2312" w:hAnsi="仿宋_GB2312" w:eastAsia="仿宋_GB2312" w:cs="仿宋_GB2312"/>
          <w:color w:val="auto"/>
          <w:sz w:val="32"/>
          <w:szCs w:val="32"/>
          <w:highlight w:val="none"/>
          <w:lang w:val="en-US" w:eastAsia="zh-CN"/>
        </w:rPr>
        <w:t>92.52</w:t>
      </w:r>
      <w:r>
        <w:rPr>
          <w:rFonts w:hint="eastAsia" w:ascii="仿宋_GB2312" w:hAnsi="仿宋_GB2312" w:eastAsia="仿宋_GB2312" w:cs="仿宋_GB2312"/>
          <w:color w:val="auto"/>
          <w:sz w:val="32"/>
          <w:szCs w:val="32"/>
          <w:highlight w:val="none"/>
        </w:rPr>
        <w:t>亿元。政府性基金预算支出</w:t>
      </w:r>
      <w:r>
        <w:rPr>
          <w:rFonts w:hint="eastAsia" w:ascii="仿宋_GB2312" w:hAnsi="仿宋_GB2312" w:eastAsia="仿宋_GB2312" w:cs="仿宋_GB2312"/>
          <w:color w:val="auto"/>
          <w:sz w:val="32"/>
          <w:szCs w:val="32"/>
          <w:highlight w:val="none"/>
          <w:lang w:val="en-US" w:eastAsia="zh-CN"/>
        </w:rPr>
        <w:t>82.97</w:t>
      </w:r>
      <w:r>
        <w:rPr>
          <w:rFonts w:hint="eastAsia" w:ascii="仿宋_GB2312" w:hAnsi="仿宋_GB2312" w:eastAsia="仿宋_GB2312" w:cs="仿宋_GB2312"/>
          <w:color w:val="auto"/>
          <w:sz w:val="32"/>
          <w:szCs w:val="32"/>
          <w:highlight w:val="none"/>
        </w:rPr>
        <w:t>亿元，转移性支出等</w:t>
      </w:r>
      <w:r>
        <w:rPr>
          <w:rFonts w:hint="eastAsia" w:ascii="仿宋_GB2312" w:hAnsi="仿宋_GB2312" w:eastAsia="仿宋_GB2312" w:cs="仿宋_GB2312"/>
          <w:color w:val="auto"/>
          <w:sz w:val="32"/>
          <w:szCs w:val="32"/>
          <w:highlight w:val="none"/>
          <w:lang w:val="en-US" w:eastAsia="zh-CN"/>
        </w:rPr>
        <w:t>9.55</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包括</w:t>
      </w:r>
      <w:r>
        <w:rPr>
          <w:rFonts w:hint="eastAsia" w:ascii="仿宋_GB2312" w:hAnsi="仿宋_GB2312" w:eastAsia="仿宋_GB2312" w:cs="仿宋_GB2312"/>
          <w:color w:val="auto"/>
          <w:sz w:val="32"/>
          <w:szCs w:val="32"/>
          <w:highlight w:val="none"/>
        </w:rPr>
        <w:t>政府性基金调出</w:t>
      </w:r>
      <w:r>
        <w:rPr>
          <w:rFonts w:hint="eastAsia" w:ascii="仿宋_GB2312" w:hAnsi="仿宋_GB2312" w:eastAsia="仿宋_GB2312" w:cs="仿宋_GB2312"/>
          <w:color w:val="auto"/>
          <w:sz w:val="32"/>
          <w:szCs w:val="32"/>
          <w:highlight w:val="none"/>
          <w:lang w:val="en-US" w:eastAsia="zh-CN"/>
        </w:rPr>
        <w:t>8.67</w:t>
      </w:r>
      <w:r>
        <w:rPr>
          <w:rFonts w:hint="eastAsia" w:ascii="仿宋_GB2312" w:hAnsi="仿宋_GB2312" w:eastAsia="仿宋_GB2312" w:cs="仿宋_GB2312"/>
          <w:color w:val="auto"/>
          <w:sz w:val="32"/>
          <w:szCs w:val="32"/>
          <w:highlight w:val="none"/>
        </w:rPr>
        <w:t>亿元，结转下年</w:t>
      </w:r>
      <w:r>
        <w:rPr>
          <w:rFonts w:hint="eastAsia" w:ascii="仿宋_GB2312" w:hAnsi="仿宋_GB2312" w:eastAsia="仿宋_GB2312" w:cs="仿宋_GB2312"/>
          <w:color w:val="auto"/>
          <w:sz w:val="32"/>
          <w:szCs w:val="32"/>
          <w:highlight w:val="none"/>
          <w:lang w:val="en-US" w:eastAsia="zh-CN"/>
        </w:rPr>
        <w:t>0.88</w:t>
      </w:r>
      <w:r>
        <w:rPr>
          <w:rFonts w:hint="eastAsia" w:ascii="仿宋_GB2312" w:hAnsi="仿宋_GB2312" w:eastAsia="仿宋_GB2312" w:cs="仿宋_GB2312"/>
          <w:color w:val="auto"/>
          <w:sz w:val="32"/>
          <w:szCs w:val="32"/>
          <w:highlight w:val="none"/>
        </w:rPr>
        <w:t>亿元），支出合计</w:t>
      </w:r>
      <w:r>
        <w:rPr>
          <w:rFonts w:hint="eastAsia" w:ascii="仿宋_GB2312" w:hAnsi="仿宋_GB2312" w:eastAsia="仿宋_GB2312" w:cs="仿宋_GB2312"/>
          <w:color w:val="auto"/>
          <w:sz w:val="32"/>
          <w:szCs w:val="32"/>
          <w:highlight w:val="none"/>
          <w:lang w:val="en-US" w:eastAsia="zh-CN"/>
        </w:rPr>
        <w:t>92.52</w:t>
      </w:r>
      <w:r>
        <w:rPr>
          <w:rFonts w:hint="eastAsia" w:ascii="仿宋_GB2312" w:hAnsi="仿宋_GB2312" w:eastAsia="仿宋_GB2312" w:cs="仿宋_GB2312"/>
          <w:color w:val="auto"/>
          <w:sz w:val="32"/>
          <w:szCs w:val="32"/>
          <w:highlight w:val="none"/>
        </w:rPr>
        <w:t>亿元。收支相抵，政府性基金收支预计平衡</w:t>
      </w:r>
      <w:r>
        <w:rPr>
          <w:rFonts w:hint="eastAsia" w:ascii="仿宋_GB2312" w:hAnsi="仿宋_GB2312" w:eastAsia="仿宋_GB2312" w:cs="仿宋_GB2312"/>
          <w:color w:val="auto"/>
          <w:spacing w:val="-6"/>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16" w:firstLineChars="200"/>
        <w:textAlignment w:val="auto"/>
        <w:rPr>
          <w:rFonts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rPr>
        <w:t>201</w:t>
      </w:r>
      <w:r>
        <w:rPr>
          <w:rFonts w:hint="eastAsia" w:ascii="仿宋_GB2312" w:hAnsi="仿宋_GB2312" w:eastAsia="仿宋_GB2312" w:cs="仿宋_GB2312"/>
          <w:color w:val="auto"/>
          <w:spacing w:val="-6"/>
          <w:sz w:val="32"/>
          <w:szCs w:val="32"/>
          <w:highlight w:val="none"/>
          <w:lang w:val="en-US" w:eastAsia="zh-CN"/>
        </w:rPr>
        <w:t>9</w:t>
      </w:r>
      <w:r>
        <w:rPr>
          <w:rFonts w:hint="eastAsia" w:ascii="仿宋_GB2312" w:hAnsi="仿宋_GB2312" w:eastAsia="仿宋_GB2312" w:cs="仿宋_GB2312"/>
          <w:color w:val="auto"/>
          <w:spacing w:val="-6"/>
          <w:sz w:val="32"/>
          <w:szCs w:val="32"/>
          <w:highlight w:val="none"/>
        </w:rPr>
        <w:t>年政府性基金预算收支执行主要科目如下：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国有土地使用权出让收入</w:t>
      </w:r>
      <w:r>
        <w:rPr>
          <w:rFonts w:hint="eastAsia" w:ascii="仿宋_GB2312" w:hAnsi="仿宋_GB2312" w:eastAsia="仿宋_GB2312" w:cs="仿宋_GB2312"/>
          <w:color w:val="auto"/>
          <w:sz w:val="32"/>
          <w:szCs w:val="32"/>
          <w:highlight w:val="none"/>
          <w:lang w:val="en-US" w:eastAsia="zh-CN"/>
        </w:rPr>
        <w:t>44.02</w:t>
      </w:r>
      <w:r>
        <w:rPr>
          <w:rFonts w:hint="eastAsia" w:ascii="仿宋_GB2312" w:hAnsi="仿宋_GB2312" w:eastAsia="仿宋_GB2312" w:cs="仿宋_GB2312"/>
          <w:color w:val="auto"/>
          <w:sz w:val="32"/>
          <w:szCs w:val="32"/>
          <w:highlight w:val="none"/>
        </w:rPr>
        <w:t>亿元，完成调整预算的</w:t>
      </w:r>
      <w:r>
        <w:rPr>
          <w:rFonts w:hint="eastAsia" w:ascii="仿宋_GB2312" w:hAnsi="仿宋_GB2312" w:eastAsia="仿宋_GB2312" w:cs="仿宋_GB2312"/>
          <w:color w:val="auto"/>
          <w:sz w:val="32"/>
          <w:szCs w:val="32"/>
          <w:highlight w:val="none"/>
          <w:lang w:val="en-US" w:eastAsia="zh-CN"/>
        </w:rPr>
        <w:t>98.8</w:t>
      </w:r>
      <w:r>
        <w:rPr>
          <w:rFonts w:hint="eastAsia" w:ascii="仿宋_GB2312" w:hAnsi="仿宋_GB2312" w:eastAsia="仿宋_GB2312" w:cs="仿宋_GB2312"/>
          <w:color w:val="auto"/>
          <w:sz w:val="32"/>
          <w:szCs w:val="32"/>
          <w:highlight w:val="none"/>
        </w:rPr>
        <w:t>%，同比</w:t>
      </w:r>
      <w:r>
        <w:rPr>
          <w:rFonts w:hint="eastAsia" w:ascii="仿宋_GB2312" w:hAnsi="仿宋_GB2312" w:eastAsia="仿宋_GB2312" w:cs="仿宋_GB2312"/>
          <w:color w:val="auto"/>
          <w:sz w:val="32"/>
          <w:szCs w:val="32"/>
          <w:highlight w:val="none"/>
          <w:lang w:val="en-US" w:eastAsia="zh-CN"/>
        </w:rPr>
        <w:t>增长16.5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pacing w:val="-11"/>
          <w:sz w:val="32"/>
          <w:szCs w:val="32"/>
          <w:highlight w:val="none"/>
        </w:rPr>
        <w:t>其他政府性基金收入</w:t>
      </w:r>
      <w:r>
        <w:rPr>
          <w:rFonts w:hint="eastAsia" w:ascii="仿宋_GB2312" w:hAnsi="仿宋_GB2312" w:eastAsia="仿宋_GB2312" w:cs="仿宋_GB2312"/>
          <w:color w:val="auto"/>
          <w:spacing w:val="-11"/>
          <w:sz w:val="32"/>
          <w:szCs w:val="32"/>
          <w:highlight w:val="none"/>
          <w:lang w:val="en-US" w:eastAsia="zh-CN"/>
        </w:rPr>
        <w:t>9.76</w:t>
      </w:r>
      <w:r>
        <w:rPr>
          <w:rFonts w:hint="eastAsia" w:ascii="仿宋_GB2312" w:hAnsi="仿宋_GB2312" w:eastAsia="仿宋_GB2312" w:cs="仿宋_GB2312"/>
          <w:color w:val="auto"/>
          <w:spacing w:val="-11"/>
          <w:sz w:val="32"/>
          <w:szCs w:val="32"/>
          <w:highlight w:val="none"/>
        </w:rPr>
        <w:t>亿元，完成调整预算的</w:t>
      </w:r>
      <w:r>
        <w:rPr>
          <w:rFonts w:hint="eastAsia" w:ascii="仿宋_GB2312" w:hAnsi="仿宋_GB2312" w:eastAsia="仿宋_GB2312" w:cs="仿宋_GB2312"/>
          <w:color w:val="auto"/>
          <w:spacing w:val="-11"/>
          <w:sz w:val="32"/>
          <w:szCs w:val="32"/>
          <w:highlight w:val="none"/>
          <w:lang w:val="en-US" w:eastAsia="zh-CN"/>
        </w:rPr>
        <w:t>105.7</w:t>
      </w:r>
      <w:r>
        <w:rPr>
          <w:rFonts w:hint="eastAsia" w:ascii="仿宋_GB2312" w:hAnsi="仿宋_GB2312" w:eastAsia="仿宋_GB2312" w:cs="仿宋_GB2312"/>
          <w:color w:val="auto"/>
          <w:spacing w:val="-11"/>
          <w:sz w:val="32"/>
          <w:szCs w:val="32"/>
          <w:highlight w:val="none"/>
        </w:rPr>
        <w:t>%，同比</w:t>
      </w:r>
      <w:r>
        <w:rPr>
          <w:rFonts w:hint="eastAsia" w:ascii="仿宋_GB2312" w:hAnsi="仿宋_GB2312" w:eastAsia="仿宋_GB2312" w:cs="仿宋_GB2312"/>
          <w:color w:val="auto"/>
          <w:spacing w:val="-11"/>
          <w:sz w:val="32"/>
          <w:szCs w:val="32"/>
          <w:highlight w:val="none"/>
          <w:lang w:val="en-US" w:eastAsia="zh-CN"/>
        </w:rPr>
        <w:t>增长449.8</w:t>
      </w:r>
      <w:r>
        <w:rPr>
          <w:rFonts w:hint="eastAsia" w:ascii="仿宋_GB2312" w:hAnsi="仿宋_GB2312" w:eastAsia="仿宋_GB2312" w:cs="仿宋_GB2312"/>
          <w:color w:val="auto"/>
          <w:spacing w:val="-11"/>
          <w:sz w:val="32"/>
          <w:szCs w:val="32"/>
          <w:highlight w:val="none"/>
        </w:rPr>
        <w:t>%</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城乡社区支出</w:t>
      </w:r>
      <w:r>
        <w:rPr>
          <w:rFonts w:hint="eastAsia" w:ascii="仿宋_GB2312" w:hAnsi="仿宋_GB2312" w:eastAsia="仿宋_GB2312" w:cs="仿宋_GB2312"/>
          <w:color w:val="auto"/>
          <w:sz w:val="32"/>
          <w:szCs w:val="32"/>
          <w:highlight w:val="none"/>
          <w:lang w:val="en-US" w:eastAsia="zh-CN"/>
        </w:rPr>
        <w:t>76.81</w:t>
      </w:r>
      <w:r>
        <w:rPr>
          <w:rFonts w:hint="eastAsia" w:ascii="仿宋_GB2312" w:hAnsi="仿宋_GB2312" w:eastAsia="仿宋_GB2312" w:cs="仿宋_GB2312"/>
          <w:color w:val="auto"/>
          <w:sz w:val="32"/>
          <w:szCs w:val="32"/>
          <w:highlight w:val="none"/>
        </w:rPr>
        <w:t>亿元，完成调整预算的</w:t>
      </w:r>
      <w:r>
        <w:rPr>
          <w:rFonts w:hint="eastAsia" w:ascii="仿宋_GB2312" w:hAnsi="仿宋_GB2312" w:eastAsia="仿宋_GB2312" w:cs="仿宋_GB2312"/>
          <w:color w:val="auto"/>
          <w:sz w:val="32"/>
          <w:szCs w:val="32"/>
          <w:highlight w:val="none"/>
          <w:lang w:val="en-US" w:eastAsia="zh-CN"/>
        </w:rPr>
        <w:t>98.7</w:t>
      </w:r>
      <w:r>
        <w:rPr>
          <w:rFonts w:hint="eastAsia" w:ascii="仿宋_GB2312" w:hAnsi="仿宋_GB2312" w:eastAsia="仿宋_GB2312" w:cs="仿宋_GB2312"/>
          <w:color w:val="auto"/>
          <w:sz w:val="32"/>
          <w:szCs w:val="32"/>
          <w:highlight w:val="none"/>
        </w:rPr>
        <w:t>%，同比</w:t>
      </w:r>
      <w:r>
        <w:rPr>
          <w:rFonts w:hint="eastAsia" w:ascii="仿宋_GB2312" w:hAnsi="仿宋_GB2312" w:eastAsia="仿宋_GB2312" w:cs="仿宋_GB2312"/>
          <w:color w:val="auto"/>
          <w:sz w:val="32"/>
          <w:szCs w:val="32"/>
          <w:highlight w:val="none"/>
          <w:lang w:val="en-US" w:eastAsia="zh-CN"/>
        </w:rPr>
        <w:t>增长64.9</w:t>
      </w:r>
      <w:r>
        <w:rPr>
          <w:rFonts w:hint="eastAsia" w:ascii="仿宋_GB2312" w:hAnsi="仿宋_GB2312" w:eastAsia="仿宋_GB2312" w:cs="仿宋_GB2312"/>
          <w:color w:val="auto"/>
          <w:sz w:val="32"/>
          <w:szCs w:val="32"/>
          <w:highlight w:val="none"/>
        </w:rPr>
        <w:t>%；其他支出</w:t>
      </w:r>
      <w:r>
        <w:rPr>
          <w:rFonts w:hint="eastAsia" w:ascii="仿宋_GB2312" w:hAnsi="仿宋_GB2312" w:eastAsia="仿宋_GB2312" w:cs="仿宋_GB2312"/>
          <w:color w:val="auto"/>
          <w:sz w:val="32"/>
          <w:szCs w:val="32"/>
          <w:highlight w:val="none"/>
          <w:lang w:val="en-US" w:eastAsia="zh-CN"/>
        </w:rPr>
        <w:t>5.05</w:t>
      </w:r>
      <w:r>
        <w:rPr>
          <w:rFonts w:hint="eastAsia" w:ascii="仿宋_GB2312" w:hAnsi="仿宋_GB2312" w:eastAsia="仿宋_GB2312" w:cs="仿宋_GB2312"/>
          <w:color w:val="auto"/>
          <w:sz w:val="32"/>
          <w:szCs w:val="32"/>
          <w:highlight w:val="none"/>
        </w:rPr>
        <w:t>亿元，完成调整预算的</w:t>
      </w:r>
      <w:r>
        <w:rPr>
          <w:rFonts w:hint="eastAsia" w:ascii="仿宋_GB2312" w:hAnsi="仿宋_GB2312" w:eastAsia="仿宋_GB2312" w:cs="仿宋_GB2312"/>
          <w:color w:val="auto"/>
          <w:sz w:val="32"/>
          <w:szCs w:val="32"/>
          <w:highlight w:val="none"/>
          <w:lang w:val="en-US" w:eastAsia="zh-CN"/>
        </w:rPr>
        <w:t>83.6</w:t>
      </w:r>
      <w:r>
        <w:rPr>
          <w:rFonts w:hint="eastAsia" w:ascii="仿宋_GB2312" w:hAnsi="仿宋_GB2312" w:eastAsia="仿宋_GB2312" w:cs="仿宋_GB2312"/>
          <w:color w:val="auto"/>
          <w:sz w:val="32"/>
          <w:szCs w:val="32"/>
          <w:highlight w:val="none"/>
        </w:rPr>
        <w:t>%，同比增长</w:t>
      </w:r>
      <w:r>
        <w:rPr>
          <w:rFonts w:hint="eastAsia" w:ascii="仿宋_GB2312" w:hAnsi="仿宋_GB2312" w:eastAsia="仿宋_GB2312" w:cs="仿宋_GB2312"/>
          <w:color w:val="auto"/>
          <w:sz w:val="32"/>
          <w:szCs w:val="32"/>
          <w:highlight w:val="none"/>
          <w:lang w:val="en-US" w:eastAsia="zh-CN"/>
        </w:rPr>
        <w:t>59.4</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由于201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年市与区财力结算尚在进行中，</w:t>
      </w:r>
      <w:r>
        <w:rPr>
          <w:rFonts w:hint="eastAsia" w:ascii="仿宋_GB2312" w:hAnsi="仿宋_GB2312" w:eastAsia="仿宋_GB2312" w:cs="仿宋_GB2312"/>
          <w:color w:val="auto"/>
          <w:sz w:val="32"/>
          <w:szCs w:val="32"/>
          <w:highlight w:val="none"/>
          <w:lang w:eastAsia="zh-CN"/>
        </w:rPr>
        <w:t>一般公共预算和政府性基金预算</w:t>
      </w:r>
      <w:r>
        <w:rPr>
          <w:rFonts w:hint="eastAsia" w:ascii="仿宋_GB2312" w:hAnsi="仿宋_GB2312" w:eastAsia="仿宋_GB2312" w:cs="仿宋_GB2312"/>
          <w:color w:val="auto"/>
          <w:sz w:val="32"/>
          <w:szCs w:val="32"/>
          <w:highlight w:val="none"/>
        </w:rPr>
        <w:t>最后平衡结果</w:t>
      </w:r>
      <w:r>
        <w:rPr>
          <w:rFonts w:hint="eastAsia" w:ascii="仿宋_GB2312" w:hAnsi="仿宋_GB2312" w:eastAsia="仿宋_GB2312" w:cs="仿宋_GB2312"/>
          <w:color w:val="auto"/>
          <w:spacing w:val="-6"/>
          <w:sz w:val="32"/>
          <w:szCs w:val="32"/>
          <w:highlight w:val="none"/>
        </w:rPr>
        <w:t>待决算编审完成后再向区人大常委会报告</w:t>
      </w:r>
      <w:r>
        <w:rPr>
          <w:rFonts w:hint="eastAsia" w:ascii="仿宋_GB2312" w:hAnsi="仿宋_GB2312" w:eastAsia="仿宋_GB2312" w:cs="仿宋_GB2312"/>
          <w:color w:val="auto"/>
          <w:spacing w:val="-6"/>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3．国有资本预算执行情况</w:t>
      </w:r>
    </w:p>
    <w:p>
      <w:pPr>
        <w:keepNext w:val="0"/>
        <w:keepLines w:val="0"/>
        <w:pageBreakBefore w:val="0"/>
        <w:kinsoku/>
        <w:wordWrap/>
        <w:overflowPunct/>
        <w:topLinePunct w:val="0"/>
        <w:autoSpaceDE/>
        <w:autoSpaceDN/>
        <w:bidi w:val="0"/>
        <w:spacing w:line="560" w:lineRule="exact"/>
        <w:ind w:firstLine="595" w:firstLineChars="196"/>
        <w:textAlignment w:val="auto"/>
        <w:rPr>
          <w:rFonts w:ascii="仿宋_GB2312" w:hAnsi="仿宋_GB2312" w:eastAsia="仿宋_GB2312" w:cs="仿宋_GB2312"/>
          <w:color w:val="auto"/>
          <w:spacing w:val="-11"/>
          <w:sz w:val="32"/>
          <w:szCs w:val="32"/>
          <w:highlight w:val="none"/>
        </w:rPr>
      </w:pPr>
      <w:r>
        <w:rPr>
          <w:rFonts w:hint="eastAsia" w:ascii="仿宋_GB2312" w:hAnsi="仿宋_GB2312" w:eastAsia="仿宋_GB2312" w:cs="仿宋_GB2312"/>
          <w:color w:val="auto"/>
          <w:spacing w:val="-8"/>
          <w:sz w:val="32"/>
          <w:szCs w:val="32"/>
          <w:highlight w:val="none"/>
        </w:rPr>
        <w:t>201</w:t>
      </w:r>
      <w:r>
        <w:rPr>
          <w:rFonts w:hint="eastAsia" w:ascii="仿宋_GB2312" w:hAnsi="仿宋_GB2312" w:eastAsia="仿宋_GB2312" w:cs="仿宋_GB2312"/>
          <w:color w:val="auto"/>
          <w:spacing w:val="-8"/>
          <w:sz w:val="32"/>
          <w:szCs w:val="32"/>
          <w:highlight w:val="none"/>
          <w:lang w:val="en-US" w:eastAsia="zh-CN"/>
        </w:rPr>
        <w:t>9</w:t>
      </w:r>
      <w:r>
        <w:rPr>
          <w:rFonts w:hint="eastAsia" w:ascii="仿宋_GB2312" w:hAnsi="仿宋_GB2312" w:eastAsia="仿宋_GB2312" w:cs="仿宋_GB2312"/>
          <w:color w:val="auto"/>
          <w:spacing w:val="-8"/>
          <w:sz w:val="32"/>
          <w:szCs w:val="32"/>
          <w:highlight w:val="none"/>
        </w:rPr>
        <w:t>年，国有资本经营预算收入</w:t>
      </w:r>
      <w:r>
        <w:rPr>
          <w:rFonts w:hint="eastAsia" w:ascii="仿宋_GB2312" w:hAnsi="仿宋_GB2312" w:eastAsia="仿宋_GB2312" w:cs="仿宋_GB2312"/>
          <w:color w:val="auto"/>
          <w:spacing w:val="-8"/>
          <w:sz w:val="32"/>
          <w:szCs w:val="32"/>
          <w:highlight w:val="none"/>
          <w:lang w:val="en-US" w:eastAsia="zh-CN"/>
        </w:rPr>
        <w:t>4500</w:t>
      </w:r>
      <w:r>
        <w:rPr>
          <w:rFonts w:hint="eastAsia" w:ascii="仿宋_GB2312" w:hAnsi="仿宋_GB2312" w:eastAsia="仿宋_GB2312" w:cs="仿宋_GB2312"/>
          <w:color w:val="auto"/>
          <w:spacing w:val="-8"/>
          <w:sz w:val="32"/>
          <w:szCs w:val="32"/>
          <w:highlight w:val="none"/>
        </w:rPr>
        <w:t>万元，完成预算的</w:t>
      </w:r>
      <w:r>
        <w:rPr>
          <w:rFonts w:hint="eastAsia" w:ascii="仿宋_GB2312" w:hAnsi="仿宋_GB2312" w:eastAsia="仿宋_GB2312" w:cs="仿宋_GB2312"/>
          <w:color w:val="auto"/>
          <w:spacing w:val="-8"/>
          <w:sz w:val="32"/>
          <w:szCs w:val="32"/>
          <w:highlight w:val="none"/>
          <w:lang w:val="en-US" w:eastAsia="zh-CN"/>
        </w:rPr>
        <w:t>100.0</w:t>
      </w:r>
      <w:r>
        <w:rPr>
          <w:rFonts w:hint="eastAsia" w:ascii="仿宋_GB2312" w:hAnsi="仿宋_GB2312" w:eastAsia="仿宋_GB2312" w:cs="仿宋_GB2312"/>
          <w:color w:val="auto"/>
          <w:spacing w:val="-8"/>
          <w:sz w:val="32"/>
          <w:szCs w:val="32"/>
          <w:highlight w:val="none"/>
        </w:rPr>
        <w:t>%，</w:t>
      </w:r>
      <w:r>
        <w:rPr>
          <w:rFonts w:hint="eastAsia" w:ascii="仿宋_GB2312" w:hAnsi="仿宋_GB2312" w:eastAsia="仿宋_GB2312" w:cs="仿宋_GB2312"/>
          <w:color w:val="auto"/>
          <w:spacing w:val="-8"/>
          <w:sz w:val="32"/>
          <w:szCs w:val="32"/>
          <w:highlight w:val="none"/>
          <w:lang w:val="en-US" w:eastAsia="zh-CN"/>
        </w:rPr>
        <w:t>同比增长14.9%，上年结转36万元，</w:t>
      </w:r>
      <w:r>
        <w:rPr>
          <w:rFonts w:hint="eastAsia" w:ascii="仿宋_GB2312" w:hAnsi="仿宋_GB2312" w:eastAsia="仿宋_GB2312" w:cs="仿宋_GB2312"/>
          <w:color w:val="auto"/>
          <w:spacing w:val="-8"/>
          <w:sz w:val="32"/>
          <w:szCs w:val="32"/>
          <w:highlight w:val="none"/>
        </w:rPr>
        <w:t>收入合计</w:t>
      </w:r>
      <w:r>
        <w:rPr>
          <w:rFonts w:hint="eastAsia" w:ascii="仿宋_GB2312" w:hAnsi="仿宋_GB2312" w:eastAsia="仿宋_GB2312" w:cs="仿宋_GB2312"/>
          <w:color w:val="auto"/>
          <w:spacing w:val="-8"/>
          <w:sz w:val="32"/>
          <w:szCs w:val="32"/>
          <w:highlight w:val="none"/>
          <w:lang w:val="en-US" w:eastAsia="zh-CN"/>
        </w:rPr>
        <w:t>4536</w:t>
      </w:r>
      <w:r>
        <w:rPr>
          <w:rFonts w:hint="eastAsia" w:ascii="仿宋_GB2312" w:hAnsi="仿宋_GB2312" w:eastAsia="仿宋_GB2312" w:cs="仿宋_GB2312"/>
          <w:color w:val="auto"/>
          <w:spacing w:val="-8"/>
          <w:sz w:val="32"/>
          <w:szCs w:val="32"/>
          <w:highlight w:val="none"/>
        </w:rPr>
        <w:t>万元；</w:t>
      </w:r>
      <w:r>
        <w:rPr>
          <w:rFonts w:hint="eastAsia" w:ascii="仿宋_GB2312" w:hAnsi="仿宋_GB2312" w:eastAsia="仿宋_GB2312" w:cs="仿宋_GB2312"/>
          <w:color w:val="auto"/>
          <w:spacing w:val="-11"/>
          <w:sz w:val="32"/>
          <w:szCs w:val="32"/>
          <w:highlight w:val="none"/>
        </w:rPr>
        <w:t>国有资本经营预算支出</w:t>
      </w:r>
      <w:r>
        <w:rPr>
          <w:rFonts w:hint="eastAsia" w:ascii="仿宋_GB2312" w:hAnsi="仿宋_GB2312" w:eastAsia="仿宋_GB2312" w:cs="仿宋_GB2312"/>
          <w:color w:val="auto"/>
          <w:spacing w:val="-11"/>
          <w:sz w:val="32"/>
          <w:szCs w:val="32"/>
          <w:highlight w:val="none"/>
          <w:lang w:val="en-US" w:eastAsia="zh-CN"/>
        </w:rPr>
        <w:t>4536</w:t>
      </w:r>
      <w:r>
        <w:rPr>
          <w:rFonts w:hint="eastAsia" w:ascii="仿宋_GB2312" w:hAnsi="仿宋_GB2312" w:eastAsia="仿宋_GB2312" w:cs="仿宋_GB2312"/>
          <w:color w:val="auto"/>
          <w:spacing w:val="-11"/>
          <w:sz w:val="32"/>
          <w:szCs w:val="32"/>
          <w:highlight w:val="none"/>
        </w:rPr>
        <w:t>万元，完成预算的</w:t>
      </w:r>
      <w:r>
        <w:rPr>
          <w:rFonts w:hint="eastAsia" w:ascii="仿宋_GB2312" w:hAnsi="仿宋_GB2312" w:eastAsia="仿宋_GB2312" w:cs="仿宋_GB2312"/>
          <w:color w:val="auto"/>
          <w:spacing w:val="-11"/>
          <w:sz w:val="32"/>
          <w:szCs w:val="32"/>
          <w:highlight w:val="none"/>
          <w:lang w:val="en-US" w:eastAsia="zh-CN"/>
        </w:rPr>
        <w:t>100.0</w:t>
      </w:r>
      <w:r>
        <w:rPr>
          <w:rFonts w:hint="eastAsia" w:ascii="仿宋_GB2312" w:hAnsi="仿宋_GB2312" w:eastAsia="仿宋_GB2312" w:cs="仿宋_GB2312"/>
          <w:color w:val="auto"/>
          <w:spacing w:val="-11"/>
          <w:sz w:val="32"/>
          <w:szCs w:val="32"/>
          <w:highlight w:val="none"/>
        </w:rPr>
        <w:t>%，</w:t>
      </w:r>
      <w:r>
        <w:rPr>
          <w:rFonts w:hint="eastAsia" w:ascii="仿宋_GB2312" w:hAnsi="仿宋_GB2312" w:eastAsia="仿宋_GB2312" w:cs="仿宋_GB2312"/>
          <w:color w:val="auto"/>
          <w:spacing w:val="-11"/>
          <w:sz w:val="32"/>
          <w:szCs w:val="32"/>
          <w:highlight w:val="none"/>
          <w:lang w:val="en-US" w:eastAsia="zh-CN"/>
        </w:rPr>
        <w:t>同比增长16.0%，</w:t>
      </w:r>
      <w:r>
        <w:rPr>
          <w:rFonts w:hint="eastAsia" w:ascii="仿宋_GB2312" w:hAnsi="仿宋_GB2312" w:eastAsia="仿宋_GB2312" w:cs="仿宋_GB2312"/>
          <w:color w:val="auto"/>
          <w:spacing w:val="-11"/>
          <w:sz w:val="32"/>
          <w:szCs w:val="32"/>
          <w:highlight w:val="none"/>
        </w:rPr>
        <w:t>支出合计</w:t>
      </w:r>
      <w:r>
        <w:rPr>
          <w:rFonts w:hint="eastAsia" w:ascii="仿宋_GB2312" w:hAnsi="仿宋_GB2312" w:eastAsia="仿宋_GB2312" w:cs="仿宋_GB2312"/>
          <w:color w:val="auto"/>
          <w:spacing w:val="-11"/>
          <w:sz w:val="32"/>
          <w:szCs w:val="32"/>
          <w:highlight w:val="none"/>
          <w:lang w:val="en-US" w:eastAsia="zh-CN"/>
        </w:rPr>
        <w:t>4536</w:t>
      </w:r>
      <w:r>
        <w:rPr>
          <w:rFonts w:hint="eastAsia" w:ascii="仿宋_GB2312" w:hAnsi="仿宋_GB2312" w:eastAsia="仿宋_GB2312" w:cs="仿宋_GB2312"/>
          <w:color w:val="auto"/>
          <w:spacing w:val="-11"/>
          <w:sz w:val="32"/>
          <w:szCs w:val="32"/>
          <w:highlight w:val="none"/>
        </w:rPr>
        <w:t>万元。</w:t>
      </w:r>
      <w:r>
        <w:rPr>
          <w:rFonts w:hint="eastAsia" w:ascii="仿宋_GB2312" w:hAnsi="仿宋_GB2312" w:eastAsia="仿宋_GB2312" w:cs="仿宋_GB2312"/>
          <w:color w:val="auto"/>
          <w:sz w:val="32"/>
          <w:szCs w:val="32"/>
          <w:highlight w:val="none"/>
        </w:rPr>
        <w:t>收支相抵，国有资本经营预算收支预计平衡</w:t>
      </w:r>
      <w:r>
        <w:rPr>
          <w:rFonts w:hint="eastAsia" w:ascii="仿宋_GB2312" w:hAnsi="仿宋_GB2312" w:eastAsia="仿宋_GB2312" w:cs="仿宋_GB2312"/>
          <w:color w:val="auto"/>
          <w:spacing w:val="-6"/>
          <w:sz w:val="32"/>
          <w:szCs w:val="32"/>
          <w:highlight w:val="none"/>
        </w:rPr>
        <w:t>。</w:t>
      </w:r>
    </w:p>
    <w:p>
      <w:pPr>
        <w:keepNext w:val="0"/>
        <w:keepLines w:val="0"/>
        <w:pageBreakBefore w:val="0"/>
        <w:kinsoku/>
        <w:wordWrap/>
        <w:overflowPunct/>
        <w:topLinePunct w:val="0"/>
        <w:autoSpaceDE/>
        <w:autoSpaceDN/>
        <w:bidi w:val="0"/>
        <w:spacing w:line="560" w:lineRule="exact"/>
        <w:ind w:firstLine="595" w:firstLineChars="196"/>
        <w:textAlignment w:val="auto"/>
        <w:rPr>
          <w:rFonts w:ascii="楷体_GB2312" w:hAnsi="楷体_GB2312" w:eastAsia="楷体_GB2312" w:cs="楷体_GB2312"/>
          <w:color w:val="auto"/>
          <w:spacing w:val="-8"/>
          <w:sz w:val="32"/>
          <w:szCs w:val="32"/>
          <w:highlight w:val="none"/>
        </w:rPr>
      </w:pPr>
      <w:r>
        <w:rPr>
          <w:rFonts w:hint="eastAsia" w:ascii="楷体_GB2312" w:hAnsi="楷体_GB2312" w:eastAsia="楷体_GB2312" w:cs="楷体_GB2312"/>
          <w:color w:val="auto"/>
          <w:spacing w:val="-8"/>
          <w:sz w:val="32"/>
          <w:szCs w:val="32"/>
          <w:highlight w:val="none"/>
        </w:rPr>
        <w:t>4. 社会保险基金预算执行情况</w:t>
      </w:r>
    </w:p>
    <w:p>
      <w:pPr>
        <w:keepNext w:val="0"/>
        <w:keepLines w:val="0"/>
        <w:pageBreakBefore w:val="0"/>
        <w:kinsoku/>
        <w:wordWrap/>
        <w:overflowPunct/>
        <w:topLinePunct w:val="0"/>
        <w:autoSpaceDE/>
        <w:autoSpaceDN/>
        <w:bidi w:val="0"/>
        <w:spacing w:line="560" w:lineRule="exact"/>
        <w:ind w:firstLine="595" w:firstLineChars="196"/>
        <w:textAlignment w:val="auto"/>
        <w:rPr>
          <w:rFonts w:ascii="仿宋_GB2312" w:hAnsi="仿宋_GB2312" w:eastAsia="仿宋_GB2312" w:cs="仿宋_GB2312"/>
          <w:color w:val="auto"/>
          <w:spacing w:val="-8"/>
          <w:sz w:val="32"/>
          <w:szCs w:val="32"/>
          <w:highlight w:val="none"/>
        </w:rPr>
      </w:pPr>
      <w:r>
        <w:rPr>
          <w:rFonts w:hint="eastAsia" w:ascii="仿宋_GB2312" w:hAnsi="仿宋_GB2312" w:eastAsia="仿宋_GB2312" w:cs="仿宋_GB2312"/>
          <w:color w:val="auto"/>
          <w:spacing w:val="-8"/>
          <w:sz w:val="32"/>
          <w:szCs w:val="32"/>
          <w:highlight w:val="none"/>
        </w:rPr>
        <w:t>201</w:t>
      </w:r>
      <w:r>
        <w:rPr>
          <w:rFonts w:hint="eastAsia" w:ascii="仿宋_GB2312" w:hAnsi="仿宋_GB2312" w:eastAsia="仿宋_GB2312" w:cs="仿宋_GB2312"/>
          <w:color w:val="auto"/>
          <w:spacing w:val="-8"/>
          <w:sz w:val="32"/>
          <w:szCs w:val="32"/>
          <w:highlight w:val="none"/>
          <w:lang w:val="en-US" w:eastAsia="zh-CN"/>
        </w:rPr>
        <w:t>9</w:t>
      </w:r>
      <w:r>
        <w:rPr>
          <w:rFonts w:hint="eastAsia" w:ascii="仿宋_GB2312" w:hAnsi="仿宋_GB2312" w:eastAsia="仿宋_GB2312" w:cs="仿宋_GB2312"/>
          <w:color w:val="auto"/>
          <w:spacing w:val="-8"/>
          <w:sz w:val="32"/>
          <w:szCs w:val="32"/>
          <w:highlight w:val="none"/>
        </w:rPr>
        <w:t>年，我区社会保险基金纳入市级社会保险基金预算。</w:t>
      </w:r>
    </w:p>
    <w:p>
      <w:pPr>
        <w:keepNext w:val="0"/>
        <w:keepLines w:val="0"/>
        <w:pageBreakBefore w:val="0"/>
        <w:kinsoku/>
        <w:wordWrap/>
        <w:overflowPunct/>
        <w:topLinePunct w:val="0"/>
        <w:autoSpaceDE/>
        <w:autoSpaceDN/>
        <w:bidi w:val="0"/>
        <w:spacing w:line="560" w:lineRule="exact"/>
        <w:ind w:firstLine="595" w:firstLineChars="196"/>
        <w:textAlignment w:val="auto"/>
        <w:rPr>
          <w:rFonts w:ascii="楷体_GB2312" w:hAnsi="楷体_GB2312" w:eastAsia="楷体_GB2312" w:cs="楷体_GB2312"/>
          <w:color w:val="auto"/>
          <w:spacing w:val="-8"/>
          <w:sz w:val="32"/>
          <w:szCs w:val="32"/>
          <w:highlight w:val="none"/>
        </w:rPr>
      </w:pPr>
      <w:r>
        <w:rPr>
          <w:rFonts w:hint="eastAsia" w:ascii="楷体_GB2312" w:hAnsi="楷体_GB2312" w:eastAsia="楷体_GB2312" w:cs="楷体_GB2312"/>
          <w:color w:val="auto"/>
          <w:spacing w:val="-8"/>
          <w:sz w:val="32"/>
          <w:szCs w:val="32"/>
          <w:highlight w:val="none"/>
        </w:rPr>
        <w:t>5．地方政府债务管理情况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坚持标本兼治、疏堵结合、循序渐进,积极防范化解地方政府债务风险。制定地方政府性债务风险管控实施意见和地方政府性债务风险应急处置预案,健全区级政府性债务风险监测、预警、化解以及应急处置体系。实施防范化解地方政府性债务风险专项行动,扎实推进政府债务风险管控计划落实和隐性债务风险化解。2019年,新增地方政府债券15亿元,为重点建设项目推进提供有力支撑。调整后，我区2019年地方政府债券限额61.48亿元，其中一般债券15.11亿元，专项债券46.37亿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rPr>
        <w:t>二、</w:t>
      </w:r>
      <w:r>
        <w:rPr>
          <w:rFonts w:hint="eastAsia" w:ascii="黑体" w:hAnsi="黑体" w:eastAsia="黑体" w:cs="黑体"/>
          <w:bCs/>
          <w:color w:val="auto"/>
          <w:sz w:val="32"/>
          <w:szCs w:val="32"/>
          <w:highlight w:val="none"/>
          <w:lang w:val="en-US" w:eastAsia="zh-CN"/>
        </w:rPr>
        <w:t>2019年财政主要工作情况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i w:val="0"/>
          <w:iCs w:val="0"/>
          <w:color w:val="auto"/>
          <w:kern w:val="0"/>
          <w:sz w:val="32"/>
          <w:szCs w:val="32"/>
          <w:highlight w:val="none"/>
          <w:u w:val="none"/>
        </w:rPr>
        <w:t>按照</w:t>
      </w:r>
      <w:r>
        <w:rPr>
          <w:rFonts w:hint="eastAsia" w:ascii="仿宋_GB2312" w:hAnsi="仿宋_GB2312" w:eastAsia="仿宋_GB2312" w:cs="仿宋_GB2312"/>
          <w:i w:val="0"/>
          <w:iCs w:val="0"/>
          <w:color w:val="auto"/>
          <w:sz w:val="32"/>
          <w:szCs w:val="32"/>
          <w:highlight w:val="none"/>
          <w:u w:val="none"/>
        </w:rPr>
        <w:t>区第八届人民代表大会第</w:t>
      </w:r>
      <w:r>
        <w:rPr>
          <w:rFonts w:hint="eastAsia" w:ascii="仿宋_GB2312" w:hAnsi="仿宋_GB2312" w:eastAsia="仿宋_GB2312" w:cs="仿宋_GB2312"/>
          <w:i w:val="0"/>
          <w:iCs w:val="0"/>
          <w:color w:val="auto"/>
          <w:sz w:val="32"/>
          <w:szCs w:val="32"/>
          <w:highlight w:val="none"/>
          <w:u w:val="none"/>
          <w:lang w:val="en-US" w:eastAsia="zh-CN"/>
        </w:rPr>
        <w:t>三</w:t>
      </w:r>
      <w:r>
        <w:rPr>
          <w:rFonts w:hint="eastAsia" w:ascii="仿宋_GB2312" w:hAnsi="仿宋_GB2312" w:eastAsia="仿宋_GB2312" w:cs="仿宋_GB2312"/>
          <w:i w:val="0"/>
          <w:iCs w:val="0"/>
          <w:color w:val="auto"/>
          <w:sz w:val="32"/>
          <w:szCs w:val="32"/>
          <w:highlight w:val="none"/>
          <w:u w:val="none"/>
        </w:rPr>
        <w:t>次会议</w:t>
      </w:r>
      <w:r>
        <w:rPr>
          <w:rFonts w:hint="eastAsia" w:ascii="仿宋_GB2312" w:hAnsi="仿宋_GB2312" w:eastAsia="仿宋_GB2312" w:cs="仿宋_GB2312"/>
          <w:i w:val="0"/>
          <w:iCs w:val="0"/>
          <w:color w:val="auto"/>
          <w:kern w:val="0"/>
          <w:sz w:val="32"/>
          <w:szCs w:val="32"/>
          <w:highlight w:val="none"/>
          <w:u w:val="none"/>
        </w:rPr>
        <w:t>决议，以及区人大财经工委审查意见，我们坚持问题导向，健全完善</w:t>
      </w:r>
      <w:r>
        <w:rPr>
          <w:rFonts w:hint="eastAsia" w:ascii="仿宋_GB2312" w:hAnsi="仿宋_GB2312" w:eastAsia="仿宋_GB2312" w:cs="仿宋_GB2312"/>
          <w:color w:val="auto"/>
          <w:kern w:val="0"/>
          <w:sz w:val="32"/>
          <w:szCs w:val="32"/>
          <w:highlight w:val="none"/>
        </w:rPr>
        <w:t>财政体制机制，全力抓好落实。</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（一）聚焦重点抓落实，助力打好三大攻坚战。</w:t>
      </w:r>
      <w:r>
        <w:rPr>
          <w:rFonts w:hint="eastAsia" w:ascii="仿宋_GB2312" w:hAnsi="仿宋_GB2312" w:eastAsia="仿宋_GB2312" w:cs="仿宋_GB2312"/>
          <w:color w:val="auto"/>
          <w:spacing w:val="-8"/>
          <w:sz w:val="32"/>
          <w:szCs w:val="32"/>
          <w:highlight w:val="none"/>
        </w:rPr>
        <w:t>支持打好防范化解重大风险攻坚战，制</w:t>
      </w:r>
      <w:r>
        <w:rPr>
          <w:rFonts w:hint="eastAsia" w:ascii="仿宋_GB2312" w:hAnsi="仿宋_GB2312" w:eastAsia="仿宋_GB2312" w:cs="仿宋_GB2312"/>
          <w:color w:val="auto"/>
          <w:spacing w:val="-8"/>
          <w:sz w:val="32"/>
          <w:szCs w:val="32"/>
          <w:highlight w:val="none"/>
          <w:lang w:eastAsia="zh-CN"/>
        </w:rPr>
        <w:t>定</w:t>
      </w:r>
      <w:r>
        <w:rPr>
          <w:rFonts w:hint="eastAsia" w:ascii="仿宋_GB2312" w:hAnsi="仿宋_GB2312" w:eastAsia="仿宋_GB2312" w:cs="仿宋_GB2312"/>
          <w:color w:val="auto"/>
          <w:spacing w:val="-8"/>
          <w:sz w:val="32"/>
          <w:szCs w:val="32"/>
          <w:highlight w:val="none"/>
        </w:rPr>
        <w:t>和落实分年度化债计</w:t>
      </w:r>
      <w:r>
        <w:rPr>
          <w:rFonts w:hint="eastAsia" w:ascii="仿宋_GB2312" w:hAnsi="仿宋_GB2312" w:eastAsia="仿宋_GB2312" w:cs="仿宋_GB2312"/>
          <w:color w:val="auto"/>
          <w:sz w:val="32"/>
          <w:szCs w:val="32"/>
          <w:highlight w:val="none"/>
        </w:rPr>
        <w:t>划，防范发生区域性系统性财政金融风险。</w:t>
      </w:r>
      <w:r>
        <w:rPr>
          <w:rFonts w:hint="eastAsia" w:ascii="仿宋_GB2312" w:hAnsi="仿宋_GB2312" w:eastAsia="仿宋_GB2312" w:cs="仿宋_GB2312"/>
          <w:color w:val="auto"/>
          <w:spacing w:val="-8"/>
          <w:sz w:val="32"/>
          <w:szCs w:val="32"/>
          <w:highlight w:val="none"/>
        </w:rPr>
        <w:t>全年化解隐性债务</w:t>
      </w:r>
      <w:r>
        <w:rPr>
          <w:rFonts w:ascii="仿宋_GB2312" w:hAnsi="仿宋_GB2312" w:eastAsia="仿宋_GB2312" w:cs="仿宋_GB2312"/>
          <w:color w:val="auto"/>
          <w:spacing w:val="-8"/>
          <w:sz w:val="32"/>
          <w:szCs w:val="32"/>
          <w:highlight w:val="none"/>
        </w:rPr>
        <w:t>65.1</w:t>
      </w:r>
      <w:r>
        <w:rPr>
          <w:rFonts w:hint="eastAsia" w:ascii="仿宋_GB2312" w:hAnsi="仿宋_GB2312" w:eastAsia="仿宋_GB2312" w:cs="仿宋_GB2312"/>
          <w:color w:val="auto"/>
          <w:spacing w:val="-8"/>
          <w:sz w:val="32"/>
          <w:szCs w:val="32"/>
          <w:highlight w:val="none"/>
        </w:rPr>
        <w:t>亿元，超额化解年初化债任务</w:t>
      </w:r>
      <w:r>
        <w:rPr>
          <w:rFonts w:ascii="仿宋_GB2312" w:hAnsi="仿宋_GB2312" w:eastAsia="仿宋_GB2312" w:cs="仿宋_GB2312"/>
          <w:color w:val="auto"/>
          <w:spacing w:val="-8"/>
          <w:sz w:val="32"/>
          <w:szCs w:val="32"/>
          <w:highlight w:val="none"/>
        </w:rPr>
        <w:t>16</w:t>
      </w:r>
      <w:r>
        <w:rPr>
          <w:rFonts w:hint="eastAsia" w:ascii="仿宋_GB2312" w:hAnsi="仿宋_GB2312" w:eastAsia="仿宋_GB2312" w:cs="仿宋_GB2312"/>
          <w:color w:val="auto"/>
          <w:spacing w:val="-8"/>
          <w:sz w:val="32"/>
          <w:szCs w:val="32"/>
          <w:highlight w:val="none"/>
        </w:rPr>
        <w:t>亿元，化债率</w:t>
      </w:r>
      <w:r>
        <w:rPr>
          <w:rFonts w:ascii="仿宋_GB2312" w:hAnsi="仿宋_GB2312" w:eastAsia="仿宋_GB2312" w:cs="仿宋_GB2312"/>
          <w:color w:val="auto"/>
          <w:spacing w:val="-8"/>
          <w:sz w:val="32"/>
          <w:szCs w:val="32"/>
          <w:highlight w:val="none"/>
        </w:rPr>
        <w:t>134.</w:t>
      </w:r>
      <w:r>
        <w:rPr>
          <w:rFonts w:hint="eastAsia" w:ascii="仿宋_GB2312" w:hAnsi="仿宋_GB2312" w:eastAsia="仿宋_GB2312" w:cs="仿宋_GB2312"/>
          <w:color w:val="auto"/>
          <w:spacing w:val="-8"/>
          <w:sz w:val="32"/>
          <w:szCs w:val="32"/>
          <w:highlight w:val="none"/>
          <w:lang w:val="en-US" w:eastAsia="zh-CN"/>
        </w:rPr>
        <w:t>1</w:t>
      </w:r>
      <w:r>
        <w:rPr>
          <w:rFonts w:ascii="仿宋_GB2312" w:hAnsi="仿宋_GB2312" w:eastAsia="仿宋_GB2312" w:cs="仿宋_GB2312"/>
          <w:color w:val="auto"/>
          <w:spacing w:val="-8"/>
          <w:sz w:val="32"/>
          <w:szCs w:val="32"/>
          <w:highlight w:val="none"/>
        </w:rPr>
        <w:t>%</w:t>
      </w:r>
      <w:r>
        <w:rPr>
          <w:rFonts w:hint="eastAsia" w:ascii="仿宋_GB2312" w:hAnsi="仿宋_GB2312" w:eastAsia="仿宋_GB2312" w:cs="仿宋_GB2312"/>
          <w:color w:val="auto"/>
          <w:spacing w:val="-8"/>
          <w:sz w:val="32"/>
          <w:szCs w:val="32"/>
          <w:highlight w:val="none"/>
        </w:rPr>
        <w:t>，新增地方政府债券15亿元。支持打好精准脱贫攻坚战，聚焦重点领域防止因病返贫，</w:t>
      </w:r>
      <w:r>
        <w:rPr>
          <w:rFonts w:hint="eastAsia" w:ascii="仿宋_GB2312" w:hAnsi="仿宋_GB2312" w:eastAsia="仿宋_GB2312" w:cs="仿宋_GB2312"/>
          <w:color w:val="auto"/>
          <w:spacing w:val="-8"/>
          <w:sz w:val="32"/>
          <w:szCs w:val="32"/>
          <w:highlight w:val="none"/>
          <w:lang w:eastAsia="zh-CN"/>
        </w:rPr>
        <w:t>落实专项扶贫资金1796万元，其中涉</w:t>
      </w:r>
      <w:r>
        <w:rPr>
          <w:rFonts w:hint="eastAsia" w:ascii="仿宋_GB2312" w:hAnsi="仿宋_GB2312" w:eastAsia="仿宋_GB2312" w:cs="仿宋_GB2312"/>
          <w:color w:val="auto"/>
          <w:spacing w:val="-8"/>
          <w:sz w:val="32"/>
          <w:szCs w:val="32"/>
          <w:highlight w:val="none"/>
        </w:rPr>
        <w:t>及挂钩帮扶、家庭医生签约服务</w:t>
      </w:r>
      <w:r>
        <w:rPr>
          <w:rFonts w:hint="eastAsia" w:ascii="仿宋_GB2312" w:hAnsi="仿宋_GB2312" w:eastAsia="仿宋_GB2312" w:cs="仿宋_GB2312"/>
          <w:color w:val="auto"/>
          <w:spacing w:val="-8"/>
          <w:sz w:val="32"/>
          <w:szCs w:val="32"/>
          <w:highlight w:val="none"/>
          <w:lang w:eastAsia="zh-CN"/>
        </w:rPr>
        <w:t>等</w:t>
      </w:r>
      <w:r>
        <w:rPr>
          <w:rFonts w:hint="eastAsia" w:ascii="仿宋_GB2312" w:hAnsi="仿宋_GB2312" w:eastAsia="仿宋_GB2312" w:cs="仿宋_GB2312"/>
          <w:color w:val="auto"/>
          <w:spacing w:val="-8"/>
          <w:sz w:val="32"/>
          <w:szCs w:val="32"/>
          <w:highlight w:val="none"/>
        </w:rPr>
        <w:t>，</w:t>
      </w:r>
      <w:r>
        <w:rPr>
          <w:rFonts w:hint="eastAsia" w:ascii="仿宋_GB2312" w:hAnsi="仿宋_GB2312" w:eastAsia="仿宋_GB2312" w:cs="仿宋_GB2312"/>
          <w:color w:val="auto"/>
          <w:spacing w:val="-8"/>
          <w:sz w:val="32"/>
          <w:szCs w:val="32"/>
          <w:highlight w:val="none"/>
          <w:lang w:eastAsia="zh-CN"/>
        </w:rPr>
        <w:t>拨付农村最低生活保障金2115万元、城乡医疗救助金479万元、困难残疾人生活补助1310万元，</w:t>
      </w:r>
      <w:r>
        <w:rPr>
          <w:rFonts w:hint="eastAsia" w:ascii="仿宋_GB2312" w:hAnsi="仿宋_GB2312" w:eastAsia="仿宋_GB2312" w:cs="仿宋_GB2312"/>
          <w:color w:val="auto"/>
          <w:spacing w:val="-8"/>
          <w:sz w:val="32"/>
          <w:szCs w:val="32"/>
          <w:highlight w:val="none"/>
        </w:rPr>
        <w:t>打通</w:t>
      </w:r>
      <w:r>
        <w:rPr>
          <w:rFonts w:hint="eastAsia" w:ascii="仿宋_GB2312" w:hAnsi="仿宋_GB2312" w:eastAsia="仿宋_GB2312" w:cs="仿宋_GB2312"/>
          <w:color w:val="auto"/>
          <w:sz w:val="32"/>
          <w:szCs w:val="32"/>
          <w:highlight w:val="none"/>
        </w:rPr>
        <w:t>脱贫攻坚政策落实“最后一公里”。支持打好污染防治攻坚战，安排资金</w:t>
      </w:r>
      <w:r>
        <w:rPr>
          <w:rFonts w:hint="eastAsia" w:ascii="仿宋_GB2312" w:hAnsi="仿宋_GB2312" w:eastAsia="仿宋_GB2312" w:cs="仿宋_GB2312"/>
          <w:color w:val="auto"/>
          <w:sz w:val="32"/>
          <w:szCs w:val="32"/>
          <w:highlight w:val="none"/>
          <w:lang w:val="en-US" w:eastAsia="zh-CN"/>
        </w:rPr>
        <w:t>1.94亿</w:t>
      </w:r>
      <w:r>
        <w:rPr>
          <w:rFonts w:hint="eastAsia" w:ascii="仿宋_GB2312" w:hAnsi="仿宋_GB2312" w:eastAsia="仿宋_GB2312" w:cs="仿宋_GB2312"/>
          <w:color w:val="auto"/>
          <w:sz w:val="32"/>
          <w:szCs w:val="32"/>
          <w:highlight w:val="none"/>
        </w:rPr>
        <w:t>元，加强污水处理设施建设和运维管理，加大截污纳管力度，推进我区“污水零直排区”创建。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（二）优化结构惠民生，持续改善社会民生。</w:t>
      </w:r>
      <w:r>
        <w:rPr>
          <w:rFonts w:hint="eastAsia" w:ascii="仿宋_GB2312" w:hAnsi="仿宋_GB2312" w:eastAsia="仿宋_GB2312" w:cs="仿宋_GB2312"/>
          <w:color w:val="auto"/>
          <w:sz w:val="32"/>
          <w:szCs w:val="32"/>
          <w:highlight w:val="none"/>
          <w:lang w:val="en-US" w:eastAsia="zh-CN"/>
        </w:rPr>
        <w:t>全年</w:t>
      </w:r>
      <w:r>
        <w:rPr>
          <w:rFonts w:hint="eastAsia" w:ascii="仿宋_GB2312" w:hAnsi="仿宋_GB2312" w:eastAsia="仿宋_GB2312" w:cs="仿宋_GB2312"/>
          <w:color w:val="auto"/>
          <w:sz w:val="32"/>
          <w:szCs w:val="32"/>
          <w:highlight w:val="none"/>
        </w:rPr>
        <w:t>我区民生支出</w:t>
      </w:r>
      <w:r>
        <w:rPr>
          <w:rFonts w:hint="eastAsia" w:ascii="仿宋_GB2312" w:hAnsi="仿宋_GB2312" w:eastAsia="仿宋_GB2312" w:cs="仿宋_GB2312"/>
          <w:color w:val="auto"/>
          <w:sz w:val="32"/>
          <w:szCs w:val="32"/>
          <w:highlight w:val="none"/>
          <w:lang w:val="en-US" w:eastAsia="zh-CN"/>
        </w:rPr>
        <w:t>30.58亿</w:t>
      </w:r>
      <w:r>
        <w:rPr>
          <w:rFonts w:hint="eastAsia" w:ascii="仿宋_GB2312" w:hAnsi="仿宋_GB2312" w:eastAsia="仿宋_GB2312" w:cs="仿宋_GB2312"/>
          <w:color w:val="auto"/>
          <w:sz w:val="32"/>
          <w:szCs w:val="32"/>
          <w:highlight w:val="none"/>
        </w:rPr>
        <w:t>元，占一般公共预算支出的</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val="en-US" w:eastAsia="zh-CN"/>
        </w:rPr>
        <w:t>6.5</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。持续加大教育</w:t>
      </w:r>
      <w:r>
        <w:rPr>
          <w:rFonts w:hint="eastAsia" w:ascii="仿宋_GB2312" w:hAnsi="仿宋_GB2312" w:eastAsia="仿宋_GB2312" w:cs="仿宋_GB2312"/>
          <w:color w:val="auto"/>
          <w:sz w:val="32"/>
          <w:szCs w:val="32"/>
          <w:highlight w:val="none"/>
          <w:lang w:eastAsia="zh-CN"/>
        </w:rPr>
        <w:t>保障力度</w:t>
      </w:r>
      <w:r>
        <w:rPr>
          <w:rFonts w:hint="eastAsia" w:ascii="仿宋_GB2312" w:hAnsi="仿宋_GB2312" w:eastAsia="仿宋_GB2312" w:cs="仿宋_GB2312"/>
          <w:color w:val="auto"/>
          <w:sz w:val="32"/>
          <w:szCs w:val="32"/>
          <w:highlight w:val="none"/>
        </w:rPr>
        <w:t>，投入</w:t>
      </w:r>
      <w:r>
        <w:rPr>
          <w:rFonts w:hint="eastAsia" w:ascii="仿宋_GB2312" w:hAnsi="仿宋_GB2312" w:eastAsia="仿宋_GB2312" w:cs="仿宋_GB2312"/>
          <w:color w:val="auto"/>
          <w:sz w:val="32"/>
          <w:szCs w:val="32"/>
          <w:highlight w:val="none"/>
          <w:lang w:val="en-US" w:eastAsia="zh-CN"/>
        </w:rPr>
        <w:t>9.00</w:t>
      </w:r>
      <w:r>
        <w:rPr>
          <w:rFonts w:hint="eastAsia" w:ascii="仿宋_GB2312" w:hAnsi="仿宋_GB2312" w:eastAsia="仿宋_GB2312" w:cs="仿宋_GB2312"/>
          <w:color w:val="auto"/>
          <w:sz w:val="32"/>
          <w:szCs w:val="32"/>
          <w:highlight w:val="none"/>
        </w:rPr>
        <w:t>亿元，强化教育资源共享，提升教育办学水平。完善城乡大病医疗救助体系，共投入城乡医疗保障配套经费</w:t>
      </w:r>
      <w:r>
        <w:rPr>
          <w:rFonts w:ascii="仿宋_GB2312" w:hAnsi="仿宋_GB2312" w:eastAsia="仿宋_GB2312" w:cs="仿宋_GB2312"/>
          <w:color w:val="auto"/>
          <w:sz w:val="32"/>
          <w:szCs w:val="32"/>
          <w:highlight w:val="none"/>
        </w:rPr>
        <w:t>9229</w:t>
      </w:r>
      <w:r>
        <w:rPr>
          <w:rFonts w:hint="eastAsia" w:ascii="仿宋_GB2312" w:hAnsi="仿宋_GB2312" w:eastAsia="仿宋_GB2312" w:cs="仿宋_GB2312"/>
          <w:color w:val="auto"/>
          <w:sz w:val="32"/>
          <w:szCs w:val="32"/>
          <w:highlight w:val="none"/>
        </w:rPr>
        <w:t>万元，推进基本公共卫生服务均等化，提升惠民基础医疗服务质量。推进基础设施建设，保障乡村振兴战略实施，整合筹集涉农资金7122万元，支持开展粮食功能区提标改造、河道清淤疏浚等项目。</w:t>
      </w:r>
      <w:r>
        <w:rPr>
          <w:rFonts w:hint="eastAsia" w:ascii="仿宋_GB2312" w:hAnsi="仿宋_GB2312" w:eastAsia="仿宋_GB2312" w:cs="仿宋_GB2312"/>
          <w:color w:val="auto"/>
          <w:sz w:val="32"/>
          <w:szCs w:val="32"/>
          <w:highlight w:val="none"/>
          <w:lang w:val="en-US" w:eastAsia="zh-CN"/>
        </w:rPr>
        <w:t>狠抓资金筹措落实，保障重点项目支出，全年投入34.56亿元，有效保障319个基本建设项目。投入城中村改造资金28.03亿元，涉及4个区块（村）728户，工业企业收储22.81亿元，涉及66家企业380亩。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（三）精准施策促发展，推动经济高质量发展。</w:t>
      </w:r>
      <w:r>
        <w:rPr>
          <w:rFonts w:hint="eastAsia" w:ascii="仿宋_GB2312" w:hAnsi="仿宋_GB2312" w:eastAsia="仿宋_GB2312" w:cs="仿宋_GB2312"/>
          <w:color w:val="auto"/>
          <w:sz w:val="32"/>
          <w:szCs w:val="32"/>
          <w:highlight w:val="none"/>
        </w:rPr>
        <w:t>全面落实企业扶持政策，推进惠企政策“直通车”，梳理整合</w:t>
      </w:r>
      <w:r>
        <w:rPr>
          <w:rFonts w:ascii="仿宋_GB2312" w:hAnsi="仿宋_GB2312" w:eastAsia="仿宋_GB2312" w:cs="仿宋_GB2312"/>
          <w:color w:val="auto"/>
          <w:sz w:val="32"/>
          <w:szCs w:val="32"/>
          <w:highlight w:val="none"/>
        </w:rPr>
        <w:t>5+X</w:t>
      </w:r>
      <w:r>
        <w:rPr>
          <w:rFonts w:hint="eastAsia" w:ascii="仿宋_GB2312" w:hAnsi="仿宋_GB2312" w:eastAsia="仿宋_GB2312" w:cs="仿宋_GB2312"/>
          <w:color w:val="auto"/>
          <w:sz w:val="32"/>
          <w:szCs w:val="32"/>
          <w:highlight w:val="none"/>
        </w:rPr>
        <w:t>产业政策，优化产业政策兑现流程，推行产业政策兑现“掌上办”。</w:t>
      </w:r>
      <w:r>
        <w:rPr>
          <w:rFonts w:hint="eastAsia" w:ascii="仿宋_GB2312" w:hAnsi="仿宋_GB2312" w:eastAsia="仿宋_GB2312" w:cs="仿宋_GB2312"/>
          <w:color w:val="auto"/>
          <w:sz w:val="32"/>
          <w:szCs w:val="32"/>
          <w:highlight w:val="none"/>
          <w:lang w:eastAsia="zh-CN"/>
        </w:rPr>
        <w:t>全年</w:t>
      </w:r>
      <w:r>
        <w:rPr>
          <w:rFonts w:hint="eastAsia" w:ascii="仿宋_GB2312" w:hAnsi="仿宋_GB2312" w:eastAsia="仿宋_GB2312" w:cs="仿宋_GB2312"/>
          <w:color w:val="auto"/>
          <w:sz w:val="32"/>
          <w:szCs w:val="32"/>
          <w:highlight w:val="none"/>
        </w:rPr>
        <w:t>兑现财政补助资金</w:t>
      </w:r>
      <w:r>
        <w:rPr>
          <w:rFonts w:hint="eastAsia" w:ascii="仿宋_GB2312" w:hAnsi="仿宋_GB2312" w:eastAsia="仿宋_GB2312" w:cs="仿宋_GB2312"/>
          <w:color w:val="auto"/>
          <w:sz w:val="32"/>
          <w:szCs w:val="32"/>
          <w:highlight w:val="none"/>
          <w:lang w:val="en-US" w:eastAsia="zh-CN"/>
        </w:rPr>
        <w:t>4.39</w:t>
      </w:r>
      <w:r>
        <w:rPr>
          <w:rFonts w:hint="eastAsia" w:ascii="仿宋_GB2312" w:hAnsi="仿宋_GB2312" w:eastAsia="仿宋_GB2312" w:cs="仿宋_GB2312"/>
          <w:color w:val="auto"/>
          <w:sz w:val="32"/>
          <w:szCs w:val="32"/>
          <w:highlight w:val="none"/>
        </w:rPr>
        <w:t>亿元，惠及中小企业</w:t>
      </w:r>
      <w:r>
        <w:rPr>
          <w:rFonts w:hint="eastAsia" w:ascii="仿宋_GB2312" w:hAnsi="仿宋_GB2312" w:eastAsia="仿宋_GB2312" w:cs="仿宋_GB2312"/>
          <w:color w:val="auto"/>
          <w:sz w:val="32"/>
          <w:szCs w:val="32"/>
          <w:highlight w:val="none"/>
          <w:lang w:val="en-US" w:eastAsia="zh-CN"/>
        </w:rPr>
        <w:t>1800</w:t>
      </w:r>
      <w:r>
        <w:rPr>
          <w:rFonts w:hint="eastAsia" w:ascii="仿宋_GB2312" w:hAnsi="仿宋_GB2312" w:eastAsia="仿宋_GB2312" w:cs="仿宋_GB2312"/>
          <w:color w:val="auto"/>
          <w:sz w:val="32"/>
          <w:szCs w:val="32"/>
          <w:highlight w:val="none"/>
        </w:rPr>
        <w:t>多家，有力助推我区企业转型升级。大力支持平台高水平建设，</w:t>
      </w:r>
      <w:r>
        <w:rPr>
          <w:rFonts w:hint="eastAsia" w:ascii="仿宋_GB2312" w:hAnsi="仿宋_GB2312" w:eastAsia="仿宋_GB2312" w:cs="仿宋_GB2312"/>
          <w:color w:val="auto"/>
          <w:sz w:val="32"/>
          <w:szCs w:val="32"/>
          <w:highlight w:val="none"/>
          <w:lang w:eastAsia="zh-CN"/>
        </w:rPr>
        <w:t>落实</w:t>
      </w:r>
      <w:r>
        <w:rPr>
          <w:rFonts w:hint="eastAsia" w:ascii="仿宋_GB2312" w:hAnsi="仿宋_GB2312" w:eastAsia="仿宋_GB2312" w:cs="仿宋_GB2312"/>
          <w:color w:val="auto"/>
          <w:sz w:val="32"/>
          <w:szCs w:val="32"/>
          <w:highlight w:val="none"/>
        </w:rPr>
        <w:t>专项资金</w:t>
      </w:r>
      <w:r>
        <w:rPr>
          <w:rFonts w:ascii="仿宋_GB2312" w:hAnsi="仿宋_GB2312" w:eastAsia="仿宋_GB2312" w:cs="仿宋_GB2312"/>
          <w:color w:val="auto"/>
          <w:sz w:val="32"/>
          <w:szCs w:val="32"/>
          <w:highlight w:val="none"/>
        </w:rPr>
        <w:t>3629</w:t>
      </w:r>
      <w:r>
        <w:rPr>
          <w:rFonts w:hint="eastAsia" w:ascii="仿宋_GB2312" w:hAnsi="仿宋_GB2312" w:eastAsia="仿宋_GB2312" w:cs="仿宋_GB2312"/>
          <w:color w:val="auto"/>
          <w:sz w:val="32"/>
          <w:szCs w:val="32"/>
          <w:highlight w:val="none"/>
        </w:rPr>
        <w:t>万元，有力支持温州激光与光电创新综合体、中国眼谷、北大</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温州激光与光电子联合研究中心、北航研究院等运营平台建设。增强融资担保能力，着力解决企业融资难担保难问题，</w:t>
      </w:r>
      <w:r>
        <w:rPr>
          <w:rFonts w:hint="eastAsia" w:ascii="仿宋_GB2312" w:hAnsi="仿宋_GB2312" w:eastAsia="仿宋_GB2312" w:cs="仿宋_GB2312"/>
          <w:color w:val="auto"/>
          <w:sz w:val="32"/>
          <w:szCs w:val="32"/>
          <w:highlight w:val="none"/>
          <w:lang w:eastAsia="zh-CN"/>
        </w:rPr>
        <w:t>全年</w:t>
      </w:r>
      <w:r>
        <w:rPr>
          <w:rFonts w:hint="eastAsia" w:ascii="仿宋_GB2312" w:hAnsi="仿宋_GB2312" w:eastAsia="仿宋_GB2312" w:cs="仿宋_GB2312"/>
          <w:color w:val="auto"/>
          <w:sz w:val="32"/>
          <w:szCs w:val="32"/>
          <w:highlight w:val="none"/>
        </w:rPr>
        <w:t>为中小企业解决应急转贷资金</w:t>
      </w:r>
      <w:r>
        <w:rPr>
          <w:rFonts w:ascii="仿宋_GB2312" w:hAnsi="仿宋_GB2312" w:eastAsia="仿宋_GB2312" w:cs="仿宋_GB2312"/>
          <w:color w:val="auto"/>
          <w:sz w:val="32"/>
          <w:szCs w:val="32"/>
          <w:highlight w:val="none"/>
        </w:rPr>
        <w:t>53</w:t>
      </w:r>
      <w:r>
        <w:rPr>
          <w:rFonts w:hint="eastAsia" w:ascii="仿宋_GB2312" w:hAnsi="仿宋_GB2312" w:eastAsia="仿宋_GB2312" w:cs="仿宋_GB2312"/>
          <w:color w:val="auto"/>
          <w:sz w:val="32"/>
          <w:szCs w:val="32"/>
          <w:highlight w:val="none"/>
        </w:rPr>
        <w:t>笔，累计转贷金额</w:t>
      </w:r>
      <w:r>
        <w:rPr>
          <w:rFonts w:ascii="仿宋_GB2312" w:hAnsi="仿宋_GB2312" w:eastAsia="仿宋_GB2312" w:cs="仿宋_GB2312"/>
          <w:color w:val="auto"/>
          <w:sz w:val="32"/>
          <w:szCs w:val="32"/>
          <w:highlight w:val="none"/>
        </w:rPr>
        <w:t>3.32</w:t>
      </w:r>
      <w:r>
        <w:rPr>
          <w:rFonts w:hint="eastAsia" w:ascii="仿宋_GB2312" w:hAnsi="仿宋_GB2312" w:eastAsia="仿宋_GB2312" w:cs="仿宋_GB2312"/>
          <w:color w:val="auto"/>
          <w:sz w:val="32"/>
          <w:szCs w:val="32"/>
          <w:highlight w:val="none"/>
        </w:rPr>
        <w:t>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kern w:val="2"/>
          <w:highlight w:val="none"/>
        </w:rPr>
      </w:pPr>
      <w:r>
        <w:rPr>
          <w:rFonts w:hint="eastAsia" w:ascii="楷体_GB2312" w:hAnsi="楷体_GB2312" w:eastAsia="楷体_GB2312" w:cs="楷体_GB2312"/>
          <w:color w:val="auto"/>
          <w:sz w:val="32"/>
          <w:szCs w:val="32"/>
          <w:highlight w:val="none"/>
          <w:lang w:val="en-US" w:eastAsia="zh-CN"/>
        </w:rPr>
        <w:t>（四）深化改革拓新路，提高财政运行水平。</w:t>
      </w:r>
      <w:r>
        <w:rPr>
          <w:rFonts w:hint="eastAsia" w:ascii="仿宋_GB2312" w:hAnsi="仿宋_GB2312" w:eastAsia="仿宋_GB2312" w:cs="仿宋_GB2312"/>
          <w:color w:val="auto"/>
          <w:sz w:val="32"/>
          <w:szCs w:val="32"/>
          <w:highlight w:val="none"/>
          <w:lang w:eastAsia="zh-CN"/>
        </w:rPr>
        <w:t>出台</w:t>
      </w:r>
      <w:r>
        <w:rPr>
          <w:rFonts w:hint="eastAsia" w:ascii="仿宋_GB2312" w:hAnsi="仿宋_GB2312" w:eastAsia="仿宋_GB2312" w:cs="仿宋_GB2312"/>
          <w:color w:val="auto"/>
          <w:sz w:val="32"/>
          <w:szCs w:val="32"/>
          <w:highlight w:val="none"/>
        </w:rPr>
        <w:t>区级全面实施预算绩效管理三年行动计划，初步建立全过程预算绩效管理运行机制</w:t>
      </w:r>
      <w:r>
        <w:rPr>
          <w:rFonts w:hint="eastAsia" w:ascii="仿宋_GB2312" w:hAnsi="仿宋_GB2312" w:eastAsia="仿宋_GB2312" w:cs="仿宋_GB2312"/>
          <w:color w:val="auto"/>
          <w:sz w:val="32"/>
          <w:szCs w:val="32"/>
          <w:highlight w:val="none"/>
          <w:lang w:eastAsia="zh-CN"/>
        </w:rPr>
        <w:t>，全年</w:t>
      </w:r>
      <w:r>
        <w:rPr>
          <w:rFonts w:hint="eastAsia" w:ascii="仿宋_GB2312" w:hAnsi="仿宋_GB2312" w:eastAsia="仿宋_GB2312" w:cs="仿宋_GB2312"/>
          <w:color w:val="auto"/>
          <w:sz w:val="32"/>
          <w:szCs w:val="32"/>
          <w:highlight w:val="none"/>
        </w:rPr>
        <w:t>开展绩效评价</w:t>
      </w:r>
      <w:r>
        <w:rPr>
          <w:rFonts w:ascii="仿宋_GB2312" w:hAnsi="仿宋_GB2312" w:eastAsia="仿宋_GB2312" w:cs="仿宋_GB2312"/>
          <w:color w:val="auto"/>
          <w:sz w:val="32"/>
          <w:szCs w:val="32"/>
          <w:highlight w:val="none"/>
        </w:rPr>
        <w:t>80</w:t>
      </w:r>
      <w:r>
        <w:rPr>
          <w:rFonts w:hint="eastAsia" w:ascii="仿宋_GB2312" w:hAnsi="仿宋_GB2312" w:eastAsia="仿宋_GB2312" w:cs="仿宋_GB2312"/>
          <w:color w:val="auto"/>
          <w:sz w:val="32"/>
          <w:szCs w:val="32"/>
          <w:highlight w:val="none"/>
        </w:rPr>
        <w:t>个，评价金额</w:t>
      </w:r>
      <w:r>
        <w:rPr>
          <w:rFonts w:hint="eastAsia" w:ascii="仿宋_GB2312" w:hAnsi="仿宋_GB2312" w:eastAsia="仿宋_GB2312" w:cs="仿宋_GB2312"/>
          <w:color w:val="auto"/>
          <w:sz w:val="32"/>
          <w:szCs w:val="32"/>
          <w:highlight w:val="none"/>
          <w:lang w:val="en-US" w:eastAsia="zh-CN"/>
        </w:rPr>
        <w:t>2.43</w:t>
      </w:r>
      <w:r>
        <w:rPr>
          <w:rFonts w:hint="eastAsia" w:ascii="仿宋_GB2312" w:hAnsi="仿宋_GB2312" w:eastAsia="仿宋_GB2312" w:cs="仿宋_GB2312"/>
          <w:color w:val="auto"/>
          <w:sz w:val="32"/>
          <w:szCs w:val="32"/>
          <w:highlight w:val="none"/>
        </w:rPr>
        <w:t>亿元。建立税收网格化管理和服务工作考核奖惩激励机制，提高税收属地化率，</w:t>
      </w:r>
      <w:r>
        <w:rPr>
          <w:rFonts w:hint="eastAsia" w:ascii="仿宋_GB2312" w:eastAsia="仿宋_GB2312"/>
          <w:color w:val="auto"/>
          <w:sz w:val="32"/>
          <w:szCs w:val="32"/>
          <w:highlight w:val="none"/>
        </w:rPr>
        <w:t>防止税源非正常流失。</w:t>
      </w:r>
      <w:r>
        <w:rPr>
          <w:rFonts w:hint="eastAsia" w:ascii="仿宋_GB2312" w:eastAsia="仿宋_GB2312"/>
          <w:color w:val="auto"/>
          <w:sz w:val="32"/>
          <w:szCs w:val="32"/>
          <w:highlight w:val="none"/>
          <w:lang w:eastAsia="zh-CN"/>
        </w:rPr>
        <w:t>全年网格化操作</w:t>
      </w:r>
      <w:r>
        <w:rPr>
          <w:rFonts w:hint="eastAsia" w:ascii="仿宋_GB2312" w:eastAsia="仿宋_GB2312"/>
          <w:color w:val="auto"/>
          <w:sz w:val="32"/>
          <w:szCs w:val="32"/>
          <w:highlight w:val="none"/>
        </w:rPr>
        <w:t>系统内新增或补充完善</w:t>
      </w:r>
      <w:r>
        <w:rPr>
          <w:rFonts w:hint="eastAsia" w:ascii="仿宋_GB2312" w:eastAsia="仿宋_GB2312"/>
          <w:color w:val="auto"/>
          <w:sz w:val="32"/>
          <w:szCs w:val="32"/>
          <w:highlight w:val="none"/>
          <w:lang w:eastAsia="zh-CN"/>
        </w:rPr>
        <w:t>企业</w:t>
      </w:r>
      <w:r>
        <w:rPr>
          <w:rFonts w:hint="eastAsia" w:ascii="仿宋_GB2312" w:eastAsia="仿宋_GB2312"/>
          <w:color w:val="auto"/>
          <w:sz w:val="32"/>
          <w:szCs w:val="32"/>
          <w:highlight w:val="none"/>
        </w:rPr>
        <w:t>税源信息4711条</w:t>
      </w:r>
      <w:r>
        <w:rPr>
          <w:rFonts w:hint="eastAsia" w:ascii="仿宋_GB2312" w:eastAsia="仿宋_GB2312"/>
          <w:color w:val="auto"/>
          <w:sz w:val="32"/>
          <w:szCs w:val="32"/>
          <w:highlight w:val="none"/>
          <w:lang w:eastAsia="zh-CN"/>
        </w:rPr>
        <w:t>，税</w:t>
      </w:r>
      <w:r>
        <w:rPr>
          <w:rFonts w:hint="eastAsia" w:ascii="仿宋_GB2312" w:eastAsia="仿宋_GB2312"/>
          <w:color w:val="auto"/>
          <w:sz w:val="32"/>
          <w:szCs w:val="32"/>
          <w:highlight w:val="none"/>
        </w:rPr>
        <w:t>收管辖权调整</w:t>
      </w:r>
      <w:r>
        <w:rPr>
          <w:rFonts w:hint="eastAsia" w:ascii="仿宋_GB2312" w:eastAsia="仿宋_GB2312"/>
          <w:color w:val="auto"/>
          <w:sz w:val="32"/>
          <w:szCs w:val="32"/>
          <w:highlight w:val="none"/>
          <w:lang w:eastAsia="zh-CN"/>
        </w:rPr>
        <w:t>至</w:t>
      </w:r>
      <w:r>
        <w:rPr>
          <w:rFonts w:hint="eastAsia" w:ascii="仿宋_GB2312" w:eastAsia="仿宋_GB2312"/>
          <w:color w:val="auto"/>
          <w:sz w:val="32"/>
          <w:szCs w:val="32"/>
          <w:highlight w:val="none"/>
        </w:rPr>
        <w:t>龙湾</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企业319户。构建集中财力办大事财政政策体系</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我区</w:t>
      </w:r>
      <w:r>
        <w:rPr>
          <w:rFonts w:hint="eastAsia" w:ascii="仿宋_GB2312" w:eastAsia="仿宋_GB2312"/>
          <w:color w:val="auto"/>
          <w:sz w:val="32"/>
          <w:szCs w:val="32"/>
          <w:highlight w:val="none"/>
        </w:rPr>
        <w:t>今后四年的可用财力和支出进行分析测算，对现有政策进行梳理整合</w:t>
      </w:r>
      <w:r>
        <w:rPr>
          <w:rFonts w:hint="eastAsia" w:ascii="仿宋_GB2312" w:eastAsia="仿宋_GB2312"/>
          <w:color w:val="auto"/>
          <w:sz w:val="32"/>
          <w:szCs w:val="32"/>
          <w:highlight w:val="none"/>
          <w:lang w:eastAsia="zh-CN"/>
        </w:rPr>
        <w:t>，出台政策体系方案。</w:t>
      </w:r>
      <w:r>
        <w:rPr>
          <w:rFonts w:hint="eastAsia" w:ascii="仿宋_GB2312" w:hAnsi="仿宋_GB2312" w:eastAsia="仿宋_GB2312" w:cs="仿宋_GB2312"/>
          <w:color w:val="auto"/>
          <w:sz w:val="32"/>
          <w:szCs w:val="32"/>
          <w:highlight w:val="none"/>
          <w:lang w:val="en-US" w:eastAsia="zh-CN"/>
        </w:rPr>
        <w:t>加强我区资产处置管理，开展国企违规发放津补贴专项整治，并</w:t>
      </w:r>
      <w:r>
        <w:rPr>
          <w:rFonts w:hint="eastAsia" w:ascii="仿宋_GB2312" w:hAnsi="仿宋_GB2312" w:eastAsia="仿宋_GB2312" w:cs="仿宋_GB2312"/>
          <w:color w:val="auto"/>
          <w:sz w:val="32"/>
          <w:szCs w:val="32"/>
          <w:highlight w:val="none"/>
        </w:rPr>
        <w:t>向区人大常委会报告全区国有资产管理情况，使国有资产的管理和监督更加透明。加快推进国有企业改革，探索</w:t>
      </w:r>
      <w:r>
        <w:rPr>
          <w:rFonts w:hint="eastAsia" w:ascii="仿宋_GB2312" w:hAnsi="仿宋_GB2312" w:eastAsia="仿宋_GB2312" w:cs="仿宋_GB2312"/>
          <w:color w:val="auto"/>
          <w:sz w:val="32"/>
          <w:szCs w:val="32"/>
          <w:highlight w:val="none"/>
          <w:lang w:eastAsia="zh-CN"/>
        </w:rPr>
        <w:t>国控</w:t>
      </w:r>
      <w:r>
        <w:rPr>
          <w:rFonts w:ascii="仿宋_GB2312" w:hAnsi="仿宋_GB2312" w:eastAsia="仿宋_GB2312" w:cs="仿宋_GB2312"/>
          <w:color w:val="auto"/>
          <w:sz w:val="32"/>
          <w:szCs w:val="32"/>
          <w:highlight w:val="none"/>
        </w:rPr>
        <w:t>2+4+N</w:t>
      </w:r>
      <w:r>
        <w:rPr>
          <w:rFonts w:hint="eastAsia" w:ascii="仿宋_GB2312" w:hAnsi="仿宋_GB2312" w:eastAsia="仿宋_GB2312" w:cs="仿宋_GB2312"/>
          <w:color w:val="auto"/>
          <w:sz w:val="32"/>
          <w:szCs w:val="32"/>
          <w:highlight w:val="none"/>
        </w:rPr>
        <w:t>组织架构，成功评定国企</w:t>
      </w:r>
      <w:r>
        <w:rPr>
          <w:rFonts w:ascii="仿宋_GB2312" w:hAnsi="仿宋_GB2312" w:eastAsia="仿宋_GB2312" w:cs="仿宋_GB2312"/>
          <w:color w:val="auto"/>
          <w:sz w:val="32"/>
          <w:szCs w:val="32"/>
          <w:highlight w:val="none"/>
        </w:rPr>
        <w:t>AA+</w:t>
      </w:r>
      <w:r>
        <w:rPr>
          <w:rFonts w:hint="eastAsia" w:ascii="仿宋_GB2312" w:hAnsi="仿宋_GB2312" w:eastAsia="仿宋_GB2312" w:cs="仿宋_GB2312"/>
          <w:color w:val="auto"/>
          <w:sz w:val="32"/>
          <w:szCs w:val="32"/>
          <w:highlight w:val="none"/>
        </w:rPr>
        <w:t>级等级，为我区拓宽融资渠道、降低融资成本打下坚实基础。</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楷体_GB2312" w:hAnsi="楷体_GB2312" w:eastAsia="楷体_GB2312" w:cs="楷体_GB2312"/>
          <w:color w:val="auto"/>
          <w:kern w:val="2"/>
          <w:sz w:val="32"/>
          <w:szCs w:val="32"/>
          <w:highlight w:val="none"/>
          <w:lang w:val="en-US" w:eastAsia="zh-CN" w:bidi="ar-SA"/>
        </w:rPr>
        <w:t>（五）强化绩效重监督，实现纪律硬约束。</w:t>
      </w:r>
      <w:r>
        <w:rPr>
          <w:rFonts w:hint="eastAsia" w:ascii="仿宋_GB2312" w:hAnsi="仿宋_GB2312" w:eastAsia="仿宋_GB2312" w:cs="仿宋_GB2312"/>
          <w:color w:val="auto"/>
          <w:sz w:val="32"/>
          <w:szCs w:val="32"/>
          <w:highlight w:val="none"/>
        </w:rPr>
        <w:t>建立“收、调、减、补”工作机制，统筹盘活全区闲置及沉淀资金</w:t>
      </w:r>
      <w:r>
        <w:rPr>
          <w:rFonts w:hint="eastAsia" w:ascii="仿宋_GB2312" w:hAnsi="仿宋_GB2312" w:eastAsia="仿宋_GB2312" w:cs="仿宋_GB2312"/>
          <w:color w:val="auto"/>
          <w:sz w:val="32"/>
          <w:szCs w:val="32"/>
          <w:highlight w:val="none"/>
          <w:lang w:val="en-US" w:eastAsia="zh-CN"/>
        </w:rPr>
        <w:t>6.14</w:t>
      </w:r>
      <w:r>
        <w:rPr>
          <w:rFonts w:hint="eastAsia" w:ascii="仿宋_GB2312" w:hAnsi="仿宋_GB2312" w:eastAsia="仿宋_GB2312" w:cs="仿宋_GB2312"/>
          <w:color w:val="auto"/>
          <w:sz w:val="32"/>
          <w:szCs w:val="32"/>
          <w:highlight w:val="none"/>
        </w:rPr>
        <w:t>亿元，用于稳增长、调结构、惠民生</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重点领域和关键环节。加快</w:t>
      </w:r>
      <w:r>
        <w:rPr>
          <w:rFonts w:hint="eastAsia" w:ascii="仿宋_GB2312" w:hAnsi="仿宋_GB2312" w:eastAsia="仿宋_GB2312" w:cs="仿宋_GB2312"/>
          <w:color w:val="auto"/>
          <w:sz w:val="32"/>
          <w:szCs w:val="32"/>
          <w:highlight w:val="none"/>
          <w:lang w:eastAsia="zh-CN"/>
        </w:rPr>
        <w:t>落实</w:t>
      </w:r>
      <w:r>
        <w:rPr>
          <w:rFonts w:hint="eastAsia" w:ascii="仿宋_GB2312" w:hAnsi="仿宋_GB2312" w:eastAsia="仿宋_GB2312" w:cs="仿宋_GB2312"/>
          <w:color w:val="auto"/>
          <w:sz w:val="32"/>
          <w:szCs w:val="32"/>
          <w:highlight w:val="none"/>
        </w:rPr>
        <w:t>全省统一的“互联网</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政府采购”体系，建设网上超市“全省一张网”，</w:t>
      </w:r>
      <w:r>
        <w:rPr>
          <w:rFonts w:hint="eastAsia" w:ascii="仿宋_GB2312" w:hAnsi="仿宋_GB2312" w:eastAsia="仿宋_GB2312" w:cs="仿宋_GB2312"/>
          <w:color w:val="auto"/>
          <w:sz w:val="32"/>
          <w:szCs w:val="32"/>
          <w:highlight w:val="none"/>
          <w:lang w:eastAsia="zh-CN"/>
        </w:rPr>
        <w:t>全年</w:t>
      </w:r>
      <w:r>
        <w:rPr>
          <w:rFonts w:hint="eastAsia" w:ascii="仿宋_GB2312" w:hAnsi="仿宋_GB2312" w:eastAsia="仿宋_GB2312" w:cs="仿宋_GB2312"/>
          <w:color w:val="auto"/>
          <w:sz w:val="32"/>
          <w:szCs w:val="32"/>
          <w:highlight w:val="none"/>
        </w:rPr>
        <w:t>政府采购预算金额</w:t>
      </w:r>
      <w:r>
        <w:rPr>
          <w:rFonts w:hint="eastAsia" w:ascii="仿宋_GB2312" w:hAnsi="仿宋_GB2312" w:eastAsia="仿宋_GB2312" w:cs="仿宋_GB2312"/>
          <w:color w:val="auto"/>
          <w:sz w:val="32"/>
          <w:szCs w:val="32"/>
          <w:highlight w:val="none"/>
          <w:lang w:val="en-US" w:eastAsia="zh-CN"/>
        </w:rPr>
        <w:t>3.93</w:t>
      </w:r>
      <w:r>
        <w:rPr>
          <w:rFonts w:hint="eastAsia" w:ascii="仿宋_GB2312" w:hAnsi="仿宋_GB2312" w:eastAsia="仿宋_GB2312" w:cs="仿宋_GB2312"/>
          <w:color w:val="auto"/>
          <w:sz w:val="32"/>
          <w:szCs w:val="32"/>
          <w:highlight w:val="none"/>
        </w:rPr>
        <w:t>亿元，实际采购支出</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63</w:t>
      </w:r>
      <w:r>
        <w:rPr>
          <w:rFonts w:hint="eastAsia" w:ascii="仿宋_GB2312" w:hAnsi="仿宋_GB2312" w:eastAsia="仿宋_GB2312" w:cs="仿宋_GB2312"/>
          <w:color w:val="auto"/>
          <w:sz w:val="32"/>
          <w:szCs w:val="32"/>
          <w:highlight w:val="none"/>
        </w:rPr>
        <w:t>亿元，节约资金</w:t>
      </w:r>
      <w:r>
        <w:rPr>
          <w:rFonts w:hint="eastAsia" w:ascii="仿宋_GB2312" w:hAnsi="仿宋_GB2312" w:eastAsia="仿宋_GB2312" w:cs="仿宋_GB2312"/>
          <w:color w:val="auto"/>
          <w:sz w:val="32"/>
          <w:szCs w:val="32"/>
          <w:highlight w:val="none"/>
          <w:lang w:val="en-US" w:eastAsia="zh-CN"/>
        </w:rPr>
        <w:t>3060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完善龙湾区财政</w:t>
      </w:r>
      <w:r>
        <w:rPr>
          <w:rFonts w:hint="eastAsia" w:ascii="仿宋_GB2312" w:hAnsi="仿宋_GB2312" w:eastAsia="仿宋_GB2312" w:cs="仿宋_GB2312"/>
          <w:color w:val="auto"/>
          <w:sz w:val="32"/>
          <w:szCs w:val="32"/>
          <w:highlight w:val="none"/>
        </w:rPr>
        <w:t>项目评审信息管理系统，提升评审水平及工作效率，</w:t>
      </w:r>
      <w:r>
        <w:rPr>
          <w:rFonts w:hint="eastAsia" w:ascii="仿宋_GB2312" w:hAnsi="仿宋_GB2312" w:eastAsia="仿宋_GB2312" w:cs="仿宋_GB2312"/>
          <w:color w:val="auto"/>
          <w:sz w:val="32"/>
          <w:szCs w:val="32"/>
          <w:highlight w:val="none"/>
          <w:lang w:eastAsia="zh-CN"/>
        </w:rPr>
        <w:t>全年</w:t>
      </w:r>
      <w:r>
        <w:rPr>
          <w:rFonts w:hint="eastAsia" w:ascii="仿宋_GB2312" w:hAnsi="仿宋_GB2312" w:eastAsia="仿宋_GB2312" w:cs="仿宋_GB2312"/>
          <w:color w:val="auto"/>
          <w:sz w:val="32"/>
          <w:szCs w:val="32"/>
          <w:highlight w:val="none"/>
        </w:rPr>
        <w:t>审结政府性投资项目</w:t>
      </w:r>
      <w:r>
        <w:rPr>
          <w:rFonts w:hint="eastAsia" w:ascii="仿宋_GB2312" w:hAnsi="仿宋_GB2312" w:eastAsia="仿宋_GB2312" w:cs="仿宋_GB2312"/>
          <w:color w:val="auto"/>
          <w:sz w:val="32"/>
          <w:szCs w:val="32"/>
          <w:highlight w:val="none"/>
          <w:lang w:val="en-US" w:eastAsia="zh-CN"/>
        </w:rPr>
        <w:t>632</w:t>
      </w:r>
      <w:r>
        <w:rPr>
          <w:rFonts w:hint="eastAsia" w:ascii="仿宋_GB2312" w:hAnsi="仿宋_GB2312" w:eastAsia="仿宋_GB2312" w:cs="仿宋_GB2312"/>
          <w:color w:val="auto"/>
          <w:sz w:val="32"/>
          <w:szCs w:val="32"/>
          <w:highlight w:val="none"/>
        </w:rPr>
        <w:t>个，送审金额</w:t>
      </w:r>
      <w:r>
        <w:rPr>
          <w:rFonts w:hint="eastAsia" w:ascii="仿宋_GB2312" w:hAnsi="仿宋_GB2312" w:eastAsia="仿宋_GB2312" w:cs="仿宋_GB2312"/>
          <w:color w:val="auto"/>
          <w:sz w:val="32"/>
          <w:szCs w:val="32"/>
          <w:highlight w:val="none"/>
          <w:lang w:val="en-US" w:eastAsia="zh-CN"/>
        </w:rPr>
        <w:t>18.01</w:t>
      </w:r>
      <w:r>
        <w:rPr>
          <w:rFonts w:hint="eastAsia" w:ascii="仿宋_GB2312" w:hAnsi="仿宋_GB2312" w:eastAsia="仿宋_GB2312" w:cs="仿宋_GB2312"/>
          <w:color w:val="auto"/>
          <w:sz w:val="32"/>
          <w:szCs w:val="32"/>
          <w:highlight w:val="none"/>
        </w:rPr>
        <w:t>亿元，审定金额</w:t>
      </w:r>
      <w:r>
        <w:rPr>
          <w:rFonts w:hint="eastAsia" w:ascii="仿宋_GB2312" w:hAnsi="仿宋_GB2312" w:eastAsia="仿宋_GB2312" w:cs="仿宋_GB2312"/>
          <w:color w:val="auto"/>
          <w:sz w:val="32"/>
          <w:szCs w:val="32"/>
          <w:highlight w:val="none"/>
          <w:lang w:val="en-US" w:eastAsia="zh-CN"/>
        </w:rPr>
        <w:t>16.93</w:t>
      </w:r>
      <w:r>
        <w:rPr>
          <w:rFonts w:hint="eastAsia" w:ascii="仿宋_GB2312" w:hAnsi="仿宋_GB2312" w:eastAsia="仿宋_GB2312" w:cs="仿宋_GB2312"/>
          <w:color w:val="auto"/>
          <w:sz w:val="32"/>
          <w:szCs w:val="32"/>
          <w:highlight w:val="none"/>
        </w:rPr>
        <w:t>亿元，核减金额</w:t>
      </w:r>
      <w:r>
        <w:rPr>
          <w:rFonts w:hint="eastAsia" w:ascii="仿宋_GB2312" w:hAnsi="仿宋_GB2312" w:eastAsia="仿宋_GB2312" w:cs="仿宋_GB2312"/>
          <w:color w:val="auto"/>
          <w:sz w:val="32"/>
          <w:szCs w:val="32"/>
          <w:highlight w:val="none"/>
          <w:lang w:val="en-US" w:eastAsia="zh-CN"/>
        </w:rPr>
        <w:t>1.08</w:t>
      </w:r>
      <w:r>
        <w:rPr>
          <w:rFonts w:hint="eastAsia" w:ascii="仿宋_GB2312" w:hAnsi="仿宋_GB2312" w:eastAsia="仿宋_GB2312" w:cs="仿宋_GB2312"/>
          <w:color w:val="auto"/>
          <w:sz w:val="32"/>
          <w:szCs w:val="32"/>
          <w:highlight w:val="none"/>
        </w:rPr>
        <w:t>亿元，核减率</w:t>
      </w:r>
      <w:r>
        <w:rPr>
          <w:rFonts w:hint="eastAsia" w:ascii="仿宋_GB2312" w:hAnsi="仿宋_GB2312" w:eastAsia="仿宋_GB2312" w:cs="仿宋_GB2312"/>
          <w:color w:val="auto"/>
          <w:sz w:val="32"/>
          <w:szCs w:val="32"/>
          <w:highlight w:val="none"/>
          <w:lang w:val="en-US" w:eastAsia="zh-CN"/>
        </w:rPr>
        <w:t>6</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。依托“互联网</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监管”</w:t>
      </w:r>
      <w:r>
        <w:rPr>
          <w:rFonts w:hint="eastAsia" w:ascii="仿宋_GB2312" w:hAnsi="仿宋_GB2312" w:eastAsia="仿宋_GB2312" w:cs="仿宋_GB2312"/>
          <w:color w:val="auto"/>
          <w:sz w:val="32"/>
          <w:szCs w:val="32"/>
          <w:highlight w:val="none"/>
          <w:lang w:eastAsia="zh-CN"/>
        </w:rPr>
        <w:t>平台</w:t>
      </w:r>
      <w:r>
        <w:rPr>
          <w:rFonts w:hint="eastAsia" w:ascii="仿宋_GB2312" w:hAnsi="仿宋_GB2312" w:eastAsia="仿宋_GB2312" w:cs="仿宋_GB2312"/>
          <w:color w:val="auto"/>
          <w:sz w:val="32"/>
          <w:szCs w:val="32"/>
          <w:highlight w:val="none"/>
        </w:rPr>
        <w:t>对全区政府采购、票据检查等开展“双随机一公开”执法监管工作，助推数字政府建设。</w:t>
      </w:r>
      <w:r>
        <w:rPr>
          <w:rFonts w:hint="eastAsia" w:ascii="仿宋_GB2312" w:hAnsi="仿宋" w:eastAsia="仿宋_GB2312"/>
          <w:color w:val="auto"/>
          <w:sz w:val="32"/>
          <w:szCs w:val="32"/>
          <w:highlight w:val="none"/>
        </w:rPr>
        <w:t>加强公款竞争性存放管理，</w:t>
      </w:r>
      <w:r>
        <w:rPr>
          <w:rFonts w:hint="eastAsia" w:ascii="仿宋_GB2312" w:hAnsi="宋体" w:eastAsia="仿宋_GB2312" w:cs="宋体"/>
          <w:color w:val="auto"/>
          <w:sz w:val="32"/>
          <w:szCs w:val="32"/>
          <w:highlight w:val="none"/>
        </w:rPr>
        <w:t>建立规范公款存放管理领导小组及议事规则，</w:t>
      </w:r>
      <w:r>
        <w:rPr>
          <w:rFonts w:hint="eastAsia" w:ascii="仿宋_GB2312" w:hAnsi="仿宋" w:eastAsia="仿宋_GB2312"/>
          <w:color w:val="auto"/>
          <w:sz w:val="32"/>
          <w:szCs w:val="32"/>
          <w:highlight w:val="none"/>
        </w:rPr>
        <w:t>组织并完成</w:t>
      </w:r>
      <w:r>
        <w:rPr>
          <w:rFonts w:ascii="仿宋_GB2312" w:hAnsi="仿宋" w:eastAsia="仿宋_GB2312"/>
          <w:color w:val="auto"/>
          <w:sz w:val="32"/>
          <w:szCs w:val="32"/>
          <w:highlight w:val="none"/>
        </w:rPr>
        <w:t>3</w:t>
      </w:r>
      <w:r>
        <w:rPr>
          <w:rFonts w:hint="eastAsia" w:ascii="仿宋_GB2312" w:hAnsi="仿宋" w:eastAsia="仿宋_GB2312"/>
          <w:color w:val="auto"/>
          <w:sz w:val="32"/>
          <w:szCs w:val="32"/>
          <w:highlight w:val="none"/>
        </w:rPr>
        <w:t>亿元区级财政资金竞争性存放招投标工作。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sz w:val="32"/>
          <w:szCs w:val="32"/>
          <w:highlight w:val="none"/>
        </w:rPr>
        <w:t>各位代表，从财政预算执行情况来看，201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年财政运行基本平稳</w:t>
      </w:r>
      <w:r>
        <w:rPr>
          <w:rFonts w:hint="eastAsia" w:ascii="仿宋_GB2312" w:hAnsi="仿宋_GB2312" w:eastAsia="仿宋_GB2312" w:cs="仿宋_GB2312"/>
          <w:color w:val="auto"/>
          <w:kern w:val="0"/>
          <w:sz w:val="32"/>
          <w:szCs w:val="32"/>
          <w:highlight w:val="none"/>
        </w:rPr>
        <w:t>，但财政工作仍面临一些压力，财政管理水平有待进一步提高，主要表现为：一是</w:t>
      </w:r>
      <w:r>
        <w:rPr>
          <w:rFonts w:hint="eastAsia" w:ascii="仿宋_GB2312" w:hAnsi="仿宋_GB2312" w:eastAsia="仿宋_GB2312" w:cs="仿宋_GB2312"/>
          <w:color w:val="auto"/>
          <w:kern w:val="0"/>
          <w:sz w:val="32"/>
          <w:szCs w:val="32"/>
          <w:highlight w:val="none"/>
          <w:lang w:eastAsia="zh-CN"/>
        </w:rPr>
        <w:t>预算的准确性与约束力需进一步加强。二是绩效目标管理、绩效信息化建设、绩效监督问责等与全面实施绩效管理的要求尚有差距，绩效管理水平有待进一步提高。三是</w:t>
      </w:r>
      <w:r>
        <w:rPr>
          <w:rFonts w:hint="eastAsia" w:ascii="仿宋_GB2312" w:hAnsi="仿宋_GB2312" w:eastAsia="仿宋_GB2312" w:cs="仿宋_GB2312"/>
          <w:color w:val="auto"/>
          <w:kern w:val="0"/>
          <w:sz w:val="32"/>
          <w:szCs w:val="32"/>
          <w:highlight w:val="none"/>
        </w:rPr>
        <w:t>我区地方政府债务规模总体处于合理水平，但隐性</w:t>
      </w:r>
      <w:r>
        <w:rPr>
          <w:rFonts w:ascii="仿宋_GB2312" w:hAnsi="仿宋_GB2312" w:eastAsia="仿宋_GB2312" w:cs="仿宋_GB2312"/>
          <w:color w:val="auto"/>
          <w:kern w:val="0"/>
          <w:sz w:val="32"/>
          <w:szCs w:val="32"/>
          <w:highlight w:val="none"/>
        </w:rPr>
        <w:t>债务风险</w:t>
      </w:r>
      <w:r>
        <w:rPr>
          <w:rFonts w:hint="eastAsia" w:ascii="仿宋_GB2312" w:hAnsi="仿宋_GB2312" w:eastAsia="仿宋_GB2312" w:cs="仿宋_GB2312"/>
          <w:color w:val="auto"/>
          <w:kern w:val="0"/>
          <w:sz w:val="32"/>
          <w:szCs w:val="32"/>
          <w:highlight w:val="none"/>
        </w:rPr>
        <w:t>仍</w:t>
      </w:r>
      <w:r>
        <w:rPr>
          <w:rFonts w:ascii="仿宋_GB2312" w:hAnsi="仿宋_GB2312" w:eastAsia="仿宋_GB2312" w:cs="仿宋_GB2312"/>
          <w:color w:val="auto"/>
          <w:kern w:val="0"/>
          <w:sz w:val="32"/>
          <w:szCs w:val="32"/>
          <w:highlight w:val="none"/>
        </w:rPr>
        <w:t>不容忽视</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这些问</w:t>
      </w:r>
      <w:r>
        <w:rPr>
          <w:rFonts w:hint="eastAsia" w:ascii="仿宋_GB2312" w:hAnsi="仿宋_GB2312" w:eastAsia="仿宋_GB2312" w:cs="仿宋_GB2312"/>
          <w:color w:val="auto"/>
          <w:sz w:val="32"/>
          <w:szCs w:val="32"/>
          <w:highlight w:val="none"/>
        </w:rPr>
        <w:t>题和困难，需要在今后的工作中予以高度重视，积极研究对策，逐步加以解决。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w:t>
      </w:r>
      <w:r>
        <w:rPr>
          <w:rFonts w:hint="eastAsia" w:ascii="黑体" w:hAnsi="黑体" w:eastAsia="黑体" w:cs="黑体"/>
          <w:color w:val="auto"/>
          <w:sz w:val="32"/>
          <w:szCs w:val="32"/>
          <w:highlight w:val="none"/>
          <w:lang w:val="en-US" w:eastAsia="zh-CN"/>
        </w:rPr>
        <w:t>2020</w:t>
      </w:r>
      <w:r>
        <w:rPr>
          <w:rFonts w:hint="eastAsia" w:ascii="黑体" w:hAnsi="黑体" w:eastAsia="黑体" w:cs="黑体"/>
          <w:color w:val="auto"/>
          <w:sz w:val="32"/>
          <w:szCs w:val="32"/>
          <w:highlight w:val="none"/>
        </w:rPr>
        <w:t>年区本级预算草案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2020年是高水平全面建成小康社会和“十三五”规划收官之年，是实现“第一个百年”奋斗目标的冲刺之年，是谋划“十四五”规划和未来发展新篇章的关键之年，做好财政工作意义重大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经济社会发展目标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结合对2020年财政经济形势的分析和预测，并参考上年度执行情况</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rPr>
        <w:t>按照中央、省委、市委</w:t>
      </w:r>
      <w:r>
        <w:rPr>
          <w:rFonts w:hint="eastAsia" w:ascii="仿宋_GB2312" w:hAnsi="仿宋_GB2312" w:eastAsia="仿宋_GB2312" w:cs="仿宋_GB2312"/>
          <w:color w:val="auto"/>
          <w:sz w:val="32"/>
          <w:szCs w:val="32"/>
          <w:lang w:eastAsia="zh-CN"/>
        </w:rPr>
        <w:t>、区委</w:t>
      </w:r>
      <w:r>
        <w:rPr>
          <w:rFonts w:hint="eastAsia" w:ascii="仿宋_GB2312" w:hAnsi="仿宋_GB2312" w:eastAsia="仿宋_GB2312" w:cs="仿宋_GB2312"/>
          <w:color w:val="auto"/>
          <w:sz w:val="32"/>
          <w:szCs w:val="32"/>
        </w:rPr>
        <w:t>对经济工作的总体</w:t>
      </w:r>
      <w:r>
        <w:rPr>
          <w:rFonts w:hint="eastAsia" w:ascii="仿宋_GB2312" w:hAnsi="仿宋_GB2312" w:eastAsia="仿宋_GB2312" w:cs="仿宋_GB2312"/>
          <w:color w:val="auto"/>
          <w:sz w:val="32"/>
          <w:szCs w:val="32"/>
          <w:lang w:eastAsia="zh-CN"/>
        </w:rPr>
        <w:t>部署</w:t>
      </w:r>
      <w:r>
        <w:rPr>
          <w:rFonts w:hint="eastAsia" w:ascii="仿宋_GB2312" w:hAnsi="仿宋_GB2312" w:eastAsia="仿宋_GB2312" w:cs="仿宋_GB2312"/>
          <w:color w:val="auto"/>
          <w:sz w:val="32"/>
          <w:szCs w:val="32"/>
        </w:rPr>
        <w:t>以及财政改革总体要求，</w:t>
      </w:r>
      <w:r>
        <w:rPr>
          <w:rFonts w:hint="eastAsia" w:ascii="仿宋_GB2312" w:hAnsi="仿宋_GB2312" w:eastAsia="仿宋_GB2312" w:cs="仿宋_GB2312"/>
          <w:color w:val="auto"/>
          <w:sz w:val="32"/>
          <w:szCs w:val="32"/>
          <w:highlight w:val="none"/>
          <w:u w:val="none"/>
          <w:lang w:val="en-US" w:eastAsia="zh-CN"/>
        </w:rPr>
        <w:t>2020</w:t>
      </w:r>
      <w:r>
        <w:rPr>
          <w:rFonts w:hint="eastAsia" w:ascii="仿宋_GB2312" w:hAnsi="仿宋_GB2312" w:eastAsia="仿宋_GB2312" w:cs="仿宋_GB2312"/>
          <w:color w:val="auto"/>
          <w:sz w:val="32"/>
          <w:szCs w:val="32"/>
          <w:highlight w:val="none"/>
          <w:u w:val="none"/>
        </w:rPr>
        <w:t>年预算安排的指导思想是：</w:t>
      </w:r>
      <w:r>
        <w:rPr>
          <w:rFonts w:hint="eastAsia" w:ascii="仿宋_GB2312" w:hAnsi="仿宋_GB2312" w:eastAsia="仿宋_GB2312" w:cs="仿宋_GB2312"/>
          <w:color w:val="auto"/>
          <w:sz w:val="32"/>
          <w:szCs w:val="32"/>
        </w:rPr>
        <w:t>高举习近平新时代中国特色社会主义思想伟大旗帜，全面贯彻党的十九大和十九届二中、三中、四中全会精神，坚决贯彻习近平总书记在浙江考察时的重要讲话精神，紧扣高水平全面建成小康社会目标任务，坚持稳中求进工作总基调，坚定不移贯彻新发展理念，突出“奋战1161，奋进2020”年度工作主题主线</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rPr>
        <w:t>深入落实</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三强</w:t>
      </w:r>
      <w:r>
        <w:rPr>
          <w:rFonts w:ascii="Times New Roman" w:hAnsi="Times New Roman" w:eastAsia="仿宋_GB2312" w:cs="Times New Roman"/>
          <w:color w:val="auto"/>
          <w:sz w:val="32"/>
          <w:szCs w:val="32"/>
        </w:rPr>
        <w:t>两</w:t>
      </w:r>
      <w:r>
        <w:rPr>
          <w:rFonts w:hint="eastAsia" w:ascii="Times New Roman" w:hAnsi="Times New Roman" w:eastAsia="仿宋_GB2312" w:cs="Times New Roman"/>
          <w:color w:val="auto"/>
          <w:sz w:val="32"/>
          <w:szCs w:val="32"/>
        </w:rPr>
        <w:t>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大力实施</w:t>
      </w:r>
      <w:r>
        <w:rPr>
          <w:rFonts w:hint="eastAsia" w:ascii="Times New Roman" w:hAnsi="Times New Roman" w:eastAsia="仿宋_GB2312" w:cs="Times New Roman"/>
          <w:color w:val="auto"/>
          <w:sz w:val="32"/>
          <w:szCs w:val="32"/>
        </w:rPr>
        <w:t>高质量发展</w:t>
      </w:r>
      <w:r>
        <w:rPr>
          <w:rFonts w:ascii="Times New Roman" w:hAnsi="Times New Roman" w:eastAsia="仿宋_GB2312" w:cs="Times New Roman"/>
          <w:color w:val="auto"/>
          <w:sz w:val="32"/>
          <w:szCs w:val="32"/>
        </w:rPr>
        <w:t>提升年、“</w:t>
      </w:r>
      <w:r>
        <w:rPr>
          <w:rFonts w:hint="eastAsia" w:ascii="Times New Roman" w:hAnsi="Times New Roman" w:eastAsia="仿宋_GB2312" w:cs="Times New Roman"/>
          <w:color w:val="auto"/>
          <w:sz w:val="32"/>
          <w:szCs w:val="32"/>
        </w:rPr>
        <w:t>六重</w:t>
      </w:r>
      <w:r>
        <w:rPr>
          <w:rFonts w:ascii="Times New Roman" w:hAnsi="Times New Roman" w:eastAsia="仿宋_GB2312" w:cs="Times New Roman"/>
          <w:color w:val="auto"/>
          <w:sz w:val="32"/>
          <w:szCs w:val="32"/>
        </w:rPr>
        <w:t>清单”</w:t>
      </w:r>
      <w:r>
        <w:rPr>
          <w:rFonts w:hint="eastAsia" w:ascii="Times New Roman" w:hAnsi="Times New Roman" w:eastAsia="仿宋_GB2312" w:cs="Times New Roman"/>
          <w:color w:val="auto"/>
          <w:sz w:val="32"/>
          <w:szCs w:val="32"/>
        </w:rPr>
        <w:t>攻坚年</w:t>
      </w:r>
      <w:r>
        <w:rPr>
          <w:rFonts w:ascii="Times New Roman" w:hAnsi="Times New Roman" w:eastAsia="仿宋_GB2312" w:cs="Times New Roman"/>
          <w:color w:val="auto"/>
          <w:sz w:val="32"/>
          <w:szCs w:val="32"/>
        </w:rPr>
        <w:t>、作风建设深化年行动</w:t>
      </w:r>
      <w:r>
        <w:rPr>
          <w:rFonts w:hint="eastAsia" w:ascii="仿宋_GB2312" w:hAnsi="仿宋_GB2312" w:eastAsia="仿宋_GB2312" w:cs="仿宋_GB2312"/>
          <w:color w:val="auto"/>
          <w:sz w:val="32"/>
          <w:szCs w:val="32"/>
        </w:rPr>
        <w:t>，全力服务保障</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政府重大决策部署实施，助力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十三五”规划</w:t>
      </w:r>
      <w:r>
        <w:rPr>
          <w:rFonts w:hint="eastAsia" w:ascii="仿宋_GB2312" w:hAnsi="仿宋_GB2312" w:eastAsia="仿宋_GB2312" w:cs="仿宋_GB2312"/>
          <w:color w:val="auto"/>
          <w:sz w:val="32"/>
          <w:szCs w:val="32"/>
          <w:lang w:eastAsia="zh-CN"/>
        </w:rPr>
        <w:t>圆满收官。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结合“十三五”总体规划、财政收入增长与GDP增长基本同步的要求，以及省市2020年收入安排情况，2020年</w:t>
      </w:r>
      <w:r>
        <w:rPr>
          <w:rFonts w:hint="eastAsia" w:ascii="仿宋_GB2312" w:hAnsi="仿宋_GB2312" w:eastAsia="仿宋_GB2312" w:cs="仿宋_GB2312"/>
          <w:color w:val="auto"/>
          <w:sz w:val="32"/>
          <w:szCs w:val="32"/>
          <w:highlight w:val="none"/>
        </w:rPr>
        <w:t>财政总收入</w:t>
      </w:r>
      <w:r>
        <w:rPr>
          <w:rFonts w:hint="eastAsia" w:ascii="仿宋_GB2312" w:hAnsi="仿宋_GB2312" w:eastAsia="仿宋_GB2312" w:cs="仿宋_GB2312"/>
          <w:color w:val="auto"/>
          <w:sz w:val="32"/>
          <w:szCs w:val="32"/>
          <w:highlight w:val="none"/>
          <w:lang w:val="en-US" w:eastAsia="zh-CN"/>
        </w:rPr>
        <w:t>初步安排建议为</w:t>
      </w:r>
      <w:r>
        <w:rPr>
          <w:rFonts w:hint="eastAsia" w:ascii="仿宋_GB2312" w:hAnsi="仿宋_GB2312" w:eastAsia="仿宋_GB2312" w:cs="仿宋_GB2312"/>
          <w:color w:val="auto"/>
          <w:sz w:val="32"/>
          <w:szCs w:val="32"/>
          <w:highlight w:val="none"/>
        </w:rPr>
        <w:t>58.58亿元，同比增长8.5%，其中：一般公共预算收入预期34.74亿元，同比增长8.0%</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按照上述指导思想和全区经济社会发展计划目标，确定</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年预算目标如下：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2020</w:t>
      </w:r>
      <w:r>
        <w:rPr>
          <w:rFonts w:hint="eastAsia" w:ascii="仿宋_GB2312" w:hAnsi="仿宋_GB2312" w:eastAsia="仿宋_GB2312" w:cs="仿宋_GB2312"/>
          <w:b/>
          <w:color w:val="auto"/>
          <w:sz w:val="32"/>
          <w:szCs w:val="32"/>
          <w:highlight w:val="none"/>
        </w:rPr>
        <w:t>年收支预算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1．一般公共预算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年，财政总收入预期</w:t>
      </w:r>
      <w:r>
        <w:rPr>
          <w:rFonts w:hint="eastAsia" w:ascii="仿宋_GB2312" w:hAnsi="仿宋_GB2312" w:eastAsia="仿宋_GB2312" w:cs="仿宋_GB2312"/>
          <w:color w:val="auto"/>
          <w:sz w:val="32"/>
          <w:szCs w:val="32"/>
          <w:highlight w:val="none"/>
          <w:lang w:val="en-US" w:eastAsia="zh-CN"/>
        </w:rPr>
        <w:t>58.58</w:t>
      </w:r>
      <w:r>
        <w:rPr>
          <w:rFonts w:hint="eastAsia" w:ascii="仿宋_GB2312" w:hAnsi="仿宋_GB2312" w:eastAsia="仿宋_GB2312" w:cs="仿宋_GB2312"/>
          <w:color w:val="auto"/>
          <w:sz w:val="32"/>
          <w:szCs w:val="32"/>
          <w:highlight w:val="none"/>
        </w:rPr>
        <w:t>亿元，同比增长</w:t>
      </w:r>
      <w:r>
        <w:rPr>
          <w:rFonts w:hint="eastAsia" w:ascii="仿宋_GB2312" w:hAnsi="仿宋_GB2312" w:eastAsia="仿宋_GB2312" w:cs="仿宋_GB2312"/>
          <w:color w:val="auto"/>
          <w:sz w:val="32"/>
          <w:szCs w:val="32"/>
          <w:highlight w:val="none"/>
          <w:lang w:val="en-US" w:eastAsia="zh-CN"/>
        </w:rPr>
        <w:t>8.5</w:t>
      </w:r>
      <w:r>
        <w:rPr>
          <w:rFonts w:hint="eastAsia" w:ascii="仿宋_GB2312" w:hAnsi="仿宋_GB2312" w:eastAsia="仿宋_GB2312" w:cs="仿宋_GB2312"/>
          <w:color w:val="auto"/>
          <w:sz w:val="32"/>
          <w:szCs w:val="32"/>
          <w:highlight w:val="none"/>
        </w:rPr>
        <w:t>%，其中：一般公共预算收入预期</w:t>
      </w:r>
      <w:r>
        <w:rPr>
          <w:rFonts w:hint="eastAsia" w:ascii="仿宋_GB2312" w:hAnsi="仿宋_GB2312" w:eastAsia="仿宋_GB2312" w:cs="仿宋_GB2312"/>
          <w:color w:val="auto"/>
          <w:sz w:val="32"/>
          <w:szCs w:val="32"/>
          <w:highlight w:val="none"/>
          <w:lang w:val="en-US" w:eastAsia="zh-CN"/>
        </w:rPr>
        <w:t>34.74</w:t>
      </w:r>
      <w:r>
        <w:rPr>
          <w:rFonts w:hint="eastAsia" w:ascii="仿宋_GB2312" w:hAnsi="仿宋_GB2312" w:eastAsia="仿宋_GB2312" w:cs="仿宋_GB2312"/>
          <w:color w:val="auto"/>
          <w:sz w:val="32"/>
          <w:szCs w:val="32"/>
          <w:highlight w:val="none"/>
        </w:rPr>
        <w:t>亿元，同比增长</w:t>
      </w:r>
      <w:r>
        <w:rPr>
          <w:rFonts w:hint="eastAsia" w:ascii="仿宋_GB2312" w:hAnsi="仿宋_GB2312" w:eastAsia="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按照“量入为出、量力而行、收支平衡”原则，拟安排</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年一般公共预算支出</w:t>
      </w:r>
      <w:r>
        <w:rPr>
          <w:rFonts w:hint="eastAsia" w:ascii="仿宋_GB2312" w:hAnsi="仿宋_GB2312" w:eastAsia="仿宋_GB2312" w:cs="仿宋_GB2312"/>
          <w:color w:val="auto"/>
          <w:sz w:val="32"/>
          <w:szCs w:val="32"/>
          <w:highlight w:val="none"/>
          <w:lang w:val="en-US" w:eastAsia="zh-CN"/>
        </w:rPr>
        <w:t>44.25</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val="en-US" w:eastAsia="zh-CN"/>
        </w:rPr>
        <w:t>拟安排六个街道预算支出2.58</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比上年增长10.6%，剔除不可比因素</w:t>
      </w:r>
      <w:r>
        <w:rPr>
          <w:rFonts w:hint="eastAsia" w:ascii="仿宋_GB2312" w:hAnsi="仿宋_GB2312" w:eastAsia="仿宋_GB2312" w:cs="仿宋_GB2312"/>
          <w:color w:val="auto"/>
          <w:sz w:val="32"/>
          <w:szCs w:val="32"/>
          <w:highlight w:val="none"/>
        </w:rPr>
        <w:t>同比增长</w:t>
      </w:r>
      <w:r>
        <w:rPr>
          <w:rFonts w:hint="eastAsia" w:ascii="仿宋_GB2312" w:hAnsi="仿宋_GB2312" w:eastAsia="仿宋_GB2312" w:cs="仿宋_GB2312"/>
          <w:color w:val="auto"/>
          <w:sz w:val="32"/>
          <w:szCs w:val="32"/>
          <w:highlight w:val="none"/>
          <w:lang w:val="en-US" w:eastAsia="zh-CN"/>
        </w:rPr>
        <w:t>5.2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tabs>
          <w:tab w:val="left" w:pos="1410"/>
        </w:tabs>
        <w:kinsoku/>
        <w:wordWrap/>
        <w:overflowPunct/>
        <w:topLinePunct w:val="0"/>
        <w:autoSpaceDE/>
        <w:autoSpaceDN/>
        <w:bidi w:val="0"/>
        <w:spacing w:line="540" w:lineRule="exact"/>
        <w:ind w:firstLine="321" w:firstLineChars="1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2020</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eastAsia="zh-CN"/>
        </w:rPr>
        <w:t>区</w:t>
      </w:r>
      <w:r>
        <w:rPr>
          <w:rFonts w:hint="eastAsia" w:ascii="仿宋_GB2312" w:hAnsi="仿宋_GB2312" w:eastAsia="仿宋_GB2312" w:cs="仿宋_GB2312"/>
          <w:b/>
          <w:bCs/>
          <w:color w:val="auto"/>
          <w:sz w:val="32"/>
          <w:szCs w:val="32"/>
          <w:highlight w:val="none"/>
        </w:rPr>
        <w:t>一般</w:t>
      </w:r>
      <w:r>
        <w:rPr>
          <w:rFonts w:ascii="仿宋_GB2312" w:hAnsi="仿宋_GB2312" w:eastAsia="仿宋_GB2312" w:cs="仿宋_GB2312"/>
          <w:b/>
          <w:bCs/>
          <w:color w:val="auto"/>
          <w:sz w:val="32"/>
          <w:szCs w:val="32"/>
          <w:highlight w:val="none"/>
        </w:rPr>
        <w:t>公共预算</w:t>
      </w:r>
      <w:r>
        <w:rPr>
          <w:rFonts w:hint="eastAsia" w:ascii="仿宋_GB2312" w:hAnsi="仿宋_GB2312" w:eastAsia="仿宋_GB2312" w:cs="仿宋_GB2312"/>
          <w:b/>
          <w:bCs/>
          <w:color w:val="auto"/>
          <w:sz w:val="32"/>
          <w:szCs w:val="32"/>
          <w:highlight w:val="none"/>
        </w:rPr>
        <w:t>收入</w:t>
      </w:r>
      <w:r>
        <w:rPr>
          <w:rFonts w:ascii="仿宋_GB2312" w:hAnsi="仿宋_GB2312" w:eastAsia="仿宋_GB2312" w:cs="仿宋_GB2312"/>
          <w:b/>
          <w:bCs/>
          <w:color w:val="auto"/>
          <w:sz w:val="32"/>
          <w:szCs w:val="32"/>
          <w:highlight w:val="none"/>
        </w:rPr>
        <w:t>主要科目</w:t>
      </w:r>
      <w:r>
        <w:rPr>
          <w:rFonts w:hint="eastAsia" w:ascii="仿宋_GB2312" w:hAnsi="仿宋_GB2312" w:eastAsia="仿宋_GB2312" w:cs="仿宋_GB2312"/>
          <w:b/>
          <w:bCs/>
          <w:color w:val="auto"/>
          <w:sz w:val="32"/>
          <w:szCs w:val="32"/>
          <w:highlight w:val="none"/>
        </w:rPr>
        <w:t>安排</w:t>
      </w:r>
      <w:r>
        <w:rPr>
          <w:rFonts w:ascii="仿宋_GB2312" w:hAnsi="仿宋_GB2312" w:eastAsia="仿宋_GB2312" w:cs="仿宋_GB2312"/>
          <w:b/>
          <w:bCs/>
          <w:color w:val="auto"/>
          <w:sz w:val="32"/>
          <w:szCs w:val="32"/>
          <w:highlight w:val="none"/>
        </w:rPr>
        <w:t>及占比情况（</w:t>
      </w:r>
      <w:r>
        <w:rPr>
          <w:rFonts w:hint="eastAsia" w:ascii="仿宋_GB2312" w:hAnsi="仿宋_GB2312" w:eastAsia="仿宋_GB2312" w:cs="仿宋_GB2312"/>
          <w:b/>
          <w:bCs/>
          <w:color w:val="auto"/>
          <w:sz w:val="32"/>
          <w:szCs w:val="32"/>
          <w:highlight w:val="none"/>
        </w:rPr>
        <w:t>图</w:t>
      </w:r>
      <w:r>
        <w:rPr>
          <w:rFonts w:ascii="仿宋_GB2312" w:hAnsi="仿宋_GB2312" w:eastAsia="仿宋_GB2312" w:cs="仿宋_GB2312"/>
          <w:b/>
          <w:bCs/>
          <w:color w:val="auto"/>
          <w:sz w:val="32"/>
          <w:szCs w:val="32"/>
          <w:highlight w:val="none"/>
        </w:rPr>
        <w:t>）</w:t>
      </w:r>
    </w:p>
    <w:p>
      <w:pPr>
        <w:keepNext w:val="0"/>
        <w:keepLines w:val="0"/>
        <w:pageBreakBefore w:val="0"/>
        <w:tabs>
          <w:tab w:val="left" w:pos="1410"/>
        </w:tabs>
        <w:kinsoku/>
        <w:wordWrap/>
        <w:overflowPunct/>
        <w:topLinePunct w:val="0"/>
        <w:autoSpaceDE/>
        <w:autoSpaceDN/>
        <w:bidi w:val="0"/>
        <w:spacing w:line="560" w:lineRule="exact"/>
        <w:jc w:val="both"/>
        <w:textAlignment w:val="auto"/>
        <w:rPr>
          <w:rFonts w:hint="eastAsia" w:ascii="仿宋_GB2312" w:hAnsi="仿宋_GB2312" w:eastAsia="仿宋_GB2312" w:cs="仿宋_GB2312"/>
          <w:b/>
          <w:bCs/>
          <w:color w:val="auto"/>
          <w:sz w:val="32"/>
          <w:szCs w:val="32"/>
          <w:highlight w:val="none"/>
          <w:lang w:val="en-US" w:eastAsia="zh-CN"/>
        </w:rPr>
      </w:pPr>
      <w:r>
        <w:rPr>
          <w:color w:val="auto"/>
          <w:highlight w:val="none"/>
        </w:rPr>
        <w:drawing>
          <wp:anchor distT="0" distB="0" distL="114300" distR="114300" simplePos="0" relativeHeight="251665408" behindDoc="1" locked="0" layoutInCell="1" allowOverlap="1">
            <wp:simplePos x="0" y="0"/>
            <wp:positionH relativeFrom="column">
              <wp:posOffset>18415</wp:posOffset>
            </wp:positionH>
            <wp:positionV relativeFrom="paragraph">
              <wp:posOffset>100330</wp:posOffset>
            </wp:positionV>
            <wp:extent cx="5778500" cy="3376930"/>
            <wp:effectExtent l="5080" t="4445" r="7620" b="9525"/>
            <wp:wrapTight wrapText="bothSides">
              <wp:wrapPolygon>
                <wp:start x="-19" y="-28"/>
                <wp:lineTo x="-19" y="21539"/>
                <wp:lineTo x="21557" y="21539"/>
                <wp:lineTo x="21557" y="-28"/>
                <wp:lineTo x="-19" y="-28"/>
              </wp:wrapPolygon>
            </wp:wrapTight>
            <wp:docPr id="2255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tabs>
          <w:tab w:val="left" w:pos="1410"/>
        </w:tabs>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tabs>
          <w:tab w:val="left" w:pos="1410"/>
        </w:tabs>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tabs>
          <w:tab w:val="left" w:pos="1410"/>
        </w:tabs>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tabs>
          <w:tab w:val="left" w:pos="1410"/>
        </w:tabs>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tabs>
          <w:tab w:val="left" w:pos="1410"/>
        </w:tabs>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tabs>
          <w:tab w:val="left" w:pos="1410"/>
        </w:tabs>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2020</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val="en-US" w:eastAsia="zh-CN"/>
        </w:rPr>
        <w:t>区</w:t>
      </w:r>
      <w:r>
        <w:rPr>
          <w:rFonts w:hint="eastAsia" w:ascii="仿宋_GB2312" w:hAnsi="仿宋_GB2312" w:eastAsia="仿宋_GB2312" w:cs="仿宋_GB2312"/>
          <w:b/>
          <w:bCs/>
          <w:color w:val="auto"/>
          <w:sz w:val="32"/>
          <w:szCs w:val="32"/>
          <w:highlight w:val="none"/>
        </w:rPr>
        <w:t>一般</w:t>
      </w:r>
      <w:r>
        <w:rPr>
          <w:rFonts w:ascii="仿宋_GB2312" w:hAnsi="仿宋_GB2312" w:eastAsia="仿宋_GB2312" w:cs="仿宋_GB2312"/>
          <w:b/>
          <w:bCs/>
          <w:color w:val="auto"/>
          <w:sz w:val="32"/>
          <w:szCs w:val="32"/>
          <w:highlight w:val="none"/>
        </w:rPr>
        <w:t>公共预算</w:t>
      </w:r>
      <w:r>
        <w:rPr>
          <w:rFonts w:hint="eastAsia" w:ascii="仿宋_GB2312" w:hAnsi="仿宋_GB2312" w:eastAsia="仿宋_GB2312" w:cs="仿宋_GB2312"/>
          <w:b/>
          <w:bCs/>
          <w:color w:val="auto"/>
          <w:sz w:val="32"/>
          <w:szCs w:val="32"/>
          <w:highlight w:val="none"/>
        </w:rPr>
        <w:t>支出</w:t>
      </w:r>
      <w:r>
        <w:rPr>
          <w:rFonts w:ascii="仿宋_GB2312" w:hAnsi="仿宋_GB2312" w:eastAsia="仿宋_GB2312" w:cs="仿宋_GB2312"/>
          <w:b/>
          <w:bCs/>
          <w:color w:val="auto"/>
          <w:sz w:val="32"/>
          <w:szCs w:val="32"/>
          <w:highlight w:val="none"/>
        </w:rPr>
        <w:t>主要科目</w:t>
      </w:r>
      <w:r>
        <w:rPr>
          <w:rFonts w:hint="eastAsia" w:ascii="仿宋_GB2312" w:hAnsi="仿宋_GB2312" w:eastAsia="仿宋_GB2312" w:cs="仿宋_GB2312"/>
          <w:b/>
          <w:bCs/>
          <w:color w:val="auto"/>
          <w:sz w:val="32"/>
          <w:szCs w:val="32"/>
          <w:highlight w:val="none"/>
        </w:rPr>
        <w:t>安排</w:t>
      </w:r>
      <w:r>
        <w:rPr>
          <w:rFonts w:ascii="仿宋_GB2312" w:hAnsi="仿宋_GB2312" w:eastAsia="仿宋_GB2312" w:cs="仿宋_GB2312"/>
          <w:b/>
          <w:bCs/>
          <w:color w:val="auto"/>
          <w:sz w:val="32"/>
          <w:szCs w:val="32"/>
          <w:highlight w:val="none"/>
        </w:rPr>
        <w:t>情况（</w:t>
      </w:r>
      <w:r>
        <w:rPr>
          <w:rFonts w:hint="eastAsia" w:ascii="仿宋_GB2312" w:hAnsi="仿宋_GB2312" w:eastAsia="仿宋_GB2312" w:cs="仿宋_GB2312"/>
          <w:b/>
          <w:bCs/>
          <w:color w:val="auto"/>
          <w:sz w:val="32"/>
          <w:szCs w:val="32"/>
          <w:highlight w:val="none"/>
        </w:rPr>
        <w:t>图</w:t>
      </w:r>
      <w:r>
        <w:rPr>
          <w:rFonts w:ascii="仿宋_GB2312" w:hAnsi="仿宋_GB2312" w:eastAsia="仿宋_GB2312" w:cs="仿宋_GB2312"/>
          <w:b/>
          <w:bCs/>
          <w:color w:val="auto"/>
          <w:sz w:val="32"/>
          <w:szCs w:val="32"/>
          <w:highlight w:val="none"/>
        </w:rPr>
        <w:t>）</w:t>
      </w:r>
    </w:p>
    <w:p>
      <w:pPr>
        <w:keepNext w:val="0"/>
        <w:keepLines w:val="0"/>
        <w:pageBreakBefore w:val="0"/>
        <w:tabs>
          <w:tab w:val="left" w:pos="1410"/>
        </w:tabs>
        <w:kinsoku/>
        <w:wordWrap/>
        <w:overflowPunct/>
        <w:topLinePunct w:val="0"/>
        <w:autoSpaceDE/>
        <w:autoSpaceDN/>
        <w:bidi w:val="0"/>
        <w:spacing w:line="560" w:lineRule="exact"/>
        <w:textAlignment w:val="auto"/>
        <w:rPr>
          <w:rFonts w:ascii="仿宋_GB2312" w:hAnsi="仿宋_GB2312" w:eastAsia="仿宋_GB2312" w:cs="仿宋_GB2312"/>
          <w:b/>
          <w:bCs/>
          <w:color w:val="auto"/>
          <w:sz w:val="32"/>
          <w:szCs w:val="32"/>
          <w:highlight w:val="none"/>
        </w:rPr>
      </w:pPr>
      <w:r>
        <w:rPr>
          <w:color w:val="auto"/>
          <w:highlight w:val="none"/>
        </w:rPr>
        <w:drawing>
          <wp:anchor distT="0" distB="0" distL="114300" distR="114300" simplePos="0" relativeHeight="251666432" behindDoc="0" locked="0" layoutInCell="1" allowOverlap="1">
            <wp:simplePos x="0" y="0"/>
            <wp:positionH relativeFrom="column">
              <wp:posOffset>-704850</wp:posOffset>
            </wp:positionH>
            <wp:positionV relativeFrom="paragraph">
              <wp:posOffset>100965</wp:posOffset>
            </wp:positionV>
            <wp:extent cx="7112000" cy="3587115"/>
            <wp:effectExtent l="4445" t="4445" r="8255" b="8890"/>
            <wp:wrapSquare wrapText="bothSides"/>
            <wp:docPr id="2256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color w:val="auto"/>
          <w:highlight w:val="none"/>
          <w:lang w:val="en-US" w:eastAsia="zh-CN"/>
        </w:rPr>
        <w:t xml:space="preserve"> </w:t>
      </w:r>
      <w:r>
        <w:rPr>
          <w:rFonts w:hint="eastAsia" w:ascii="仿宋_GB2312" w:hAnsi="仿宋_GB2312" w:eastAsia="仿宋_GB2312" w:cs="仿宋_GB2312"/>
          <w:b/>
          <w:bCs/>
          <w:color w:val="auto"/>
          <w:sz w:val="32"/>
          <w:szCs w:val="32"/>
          <w:highlight w:val="none"/>
        </w:rPr>
        <w:t>总体收支（平衡）预算情况：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年，一般公共预算预期收入</w:t>
      </w:r>
      <w:r>
        <w:rPr>
          <w:rFonts w:hint="eastAsia" w:ascii="仿宋_GB2312" w:hAnsi="仿宋_GB2312" w:eastAsia="仿宋_GB2312" w:cs="仿宋_GB2312"/>
          <w:color w:val="auto"/>
          <w:sz w:val="32"/>
          <w:szCs w:val="32"/>
          <w:highlight w:val="none"/>
          <w:lang w:val="en-US" w:eastAsia="zh-CN"/>
        </w:rPr>
        <w:t>34.74</w:t>
      </w:r>
      <w:r>
        <w:rPr>
          <w:rFonts w:hint="eastAsia" w:ascii="仿宋_GB2312" w:hAnsi="仿宋_GB2312" w:eastAsia="仿宋_GB2312" w:cs="仿宋_GB2312"/>
          <w:color w:val="auto"/>
          <w:sz w:val="32"/>
          <w:szCs w:val="32"/>
          <w:highlight w:val="none"/>
        </w:rPr>
        <w:t>亿元，加上转移性收入等</w:t>
      </w:r>
      <w:r>
        <w:rPr>
          <w:rFonts w:hint="eastAsia" w:ascii="仿宋_GB2312" w:hAnsi="仿宋_GB2312" w:eastAsia="仿宋_GB2312" w:cs="仿宋_GB2312"/>
          <w:color w:val="auto"/>
          <w:sz w:val="32"/>
          <w:szCs w:val="32"/>
          <w:highlight w:val="none"/>
          <w:lang w:val="en-US" w:eastAsia="zh-CN"/>
        </w:rPr>
        <w:t>24.20</w:t>
      </w:r>
      <w:r>
        <w:rPr>
          <w:rFonts w:hint="eastAsia" w:ascii="仿宋_GB2312" w:hAnsi="仿宋_GB2312" w:eastAsia="仿宋_GB2312" w:cs="仿宋_GB2312"/>
          <w:color w:val="auto"/>
          <w:sz w:val="32"/>
          <w:szCs w:val="32"/>
          <w:highlight w:val="none"/>
        </w:rPr>
        <w:t>亿元（包括税收返还收入</w:t>
      </w:r>
      <w:r>
        <w:rPr>
          <w:rFonts w:hint="eastAsia" w:ascii="仿宋_GB2312" w:hAnsi="仿宋_GB2312" w:eastAsia="仿宋_GB2312" w:cs="仿宋_GB2312"/>
          <w:color w:val="auto"/>
          <w:sz w:val="32"/>
          <w:szCs w:val="32"/>
          <w:highlight w:val="none"/>
          <w:lang w:val="en-US" w:eastAsia="zh-CN"/>
        </w:rPr>
        <w:t>0.95</w:t>
      </w:r>
      <w:r>
        <w:rPr>
          <w:rFonts w:hint="eastAsia" w:ascii="仿宋_GB2312" w:hAnsi="仿宋_GB2312" w:eastAsia="仿宋_GB2312" w:cs="仿宋_GB2312"/>
          <w:color w:val="auto"/>
          <w:sz w:val="32"/>
          <w:szCs w:val="32"/>
          <w:highlight w:val="none"/>
        </w:rPr>
        <w:t>亿元、上级转移支付收入</w:t>
      </w:r>
      <w:r>
        <w:rPr>
          <w:rFonts w:hint="eastAsia" w:ascii="仿宋_GB2312" w:hAnsi="仿宋_GB2312" w:eastAsia="仿宋_GB2312" w:cs="仿宋_GB2312"/>
          <w:color w:val="auto"/>
          <w:sz w:val="32"/>
          <w:szCs w:val="32"/>
          <w:highlight w:val="none"/>
          <w:lang w:val="en-US" w:eastAsia="zh-CN"/>
        </w:rPr>
        <w:t>9.0</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val="en-US" w:eastAsia="zh-CN"/>
        </w:rPr>
        <w:t>地方政府一般债务转贷收入1.5亿元、政</w:t>
      </w:r>
      <w:r>
        <w:rPr>
          <w:rFonts w:hint="eastAsia" w:ascii="仿宋_GB2312" w:hAnsi="仿宋_GB2312" w:eastAsia="仿宋_GB2312" w:cs="仿宋_GB2312"/>
          <w:color w:val="auto"/>
          <w:sz w:val="32"/>
          <w:szCs w:val="32"/>
          <w:highlight w:val="none"/>
        </w:rPr>
        <w:t>府性基金调</w:t>
      </w:r>
      <w:r>
        <w:rPr>
          <w:rFonts w:hint="eastAsia" w:ascii="仿宋_GB2312" w:hAnsi="仿宋_GB2312" w:eastAsia="仿宋_GB2312" w:cs="仿宋_GB2312"/>
          <w:color w:val="auto"/>
          <w:sz w:val="32"/>
          <w:szCs w:val="32"/>
          <w:highlight w:val="none"/>
          <w:lang w:val="en-US" w:eastAsia="zh-CN"/>
        </w:rPr>
        <w:t>入11.43</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动用预算稳定调节基金0.22亿元、使用结转资金1.10亿元</w:t>
      </w:r>
      <w:r>
        <w:rPr>
          <w:rFonts w:hint="eastAsia" w:ascii="仿宋_GB2312" w:hAnsi="仿宋_GB2312" w:eastAsia="仿宋_GB2312" w:cs="仿宋_GB2312"/>
          <w:color w:val="auto"/>
          <w:sz w:val="32"/>
          <w:szCs w:val="32"/>
          <w:highlight w:val="none"/>
        </w:rPr>
        <w:t>），收入共计</w:t>
      </w:r>
      <w:r>
        <w:rPr>
          <w:rFonts w:hint="eastAsia" w:ascii="仿宋_GB2312" w:hAnsi="仿宋_GB2312" w:eastAsia="仿宋_GB2312" w:cs="仿宋_GB2312"/>
          <w:color w:val="auto"/>
          <w:sz w:val="32"/>
          <w:szCs w:val="32"/>
          <w:highlight w:val="none"/>
          <w:lang w:val="en-US" w:eastAsia="zh-CN"/>
        </w:rPr>
        <w:t>58.94</w:t>
      </w:r>
      <w:r>
        <w:rPr>
          <w:rFonts w:hint="eastAsia" w:ascii="仿宋_GB2312" w:hAnsi="仿宋_GB2312" w:eastAsia="仿宋_GB2312" w:cs="仿宋_GB2312"/>
          <w:color w:val="auto"/>
          <w:sz w:val="32"/>
          <w:szCs w:val="32"/>
          <w:highlight w:val="none"/>
        </w:rPr>
        <w:t>亿元。一般公共预算支出拟安排</w:t>
      </w:r>
      <w:r>
        <w:rPr>
          <w:rFonts w:hint="eastAsia" w:ascii="仿宋_GB2312" w:hAnsi="仿宋_GB2312" w:eastAsia="仿宋_GB2312" w:cs="仿宋_GB2312"/>
          <w:color w:val="auto"/>
          <w:sz w:val="32"/>
          <w:szCs w:val="32"/>
          <w:highlight w:val="none"/>
          <w:lang w:val="en-US" w:eastAsia="zh-CN"/>
        </w:rPr>
        <w:t>44.25</w:t>
      </w:r>
      <w:r>
        <w:rPr>
          <w:rFonts w:hint="eastAsia" w:ascii="仿宋_GB2312" w:hAnsi="仿宋_GB2312" w:eastAsia="仿宋_GB2312" w:cs="仿宋_GB2312"/>
          <w:color w:val="auto"/>
          <w:sz w:val="32"/>
          <w:szCs w:val="32"/>
          <w:highlight w:val="none"/>
        </w:rPr>
        <w:t>亿元，加上转移性支出等</w:t>
      </w:r>
      <w:r>
        <w:rPr>
          <w:rFonts w:hint="eastAsia" w:ascii="仿宋_GB2312" w:hAnsi="仿宋_GB2312" w:eastAsia="仿宋_GB2312" w:cs="仿宋_GB2312"/>
          <w:color w:val="auto"/>
          <w:sz w:val="32"/>
          <w:szCs w:val="32"/>
          <w:highlight w:val="none"/>
          <w:lang w:val="en-US" w:eastAsia="zh-CN"/>
        </w:rPr>
        <w:t>14.69</w:t>
      </w:r>
      <w:r>
        <w:rPr>
          <w:rFonts w:hint="eastAsia" w:ascii="仿宋_GB2312" w:hAnsi="仿宋_GB2312" w:eastAsia="仿宋_GB2312" w:cs="仿宋_GB2312"/>
          <w:color w:val="auto"/>
          <w:sz w:val="32"/>
          <w:szCs w:val="32"/>
          <w:highlight w:val="none"/>
        </w:rPr>
        <w:t>亿元（包括体制上解支出</w:t>
      </w:r>
      <w:r>
        <w:rPr>
          <w:rFonts w:hint="eastAsia" w:ascii="仿宋_GB2312" w:hAnsi="仿宋_GB2312" w:eastAsia="仿宋_GB2312" w:cs="仿宋_GB2312"/>
          <w:color w:val="auto"/>
          <w:sz w:val="32"/>
          <w:szCs w:val="32"/>
          <w:highlight w:val="none"/>
          <w:lang w:val="en-US" w:eastAsia="zh-CN"/>
        </w:rPr>
        <w:t>13.2</w:t>
      </w:r>
      <w:r>
        <w:rPr>
          <w:rFonts w:hint="eastAsia" w:ascii="仿宋_GB2312" w:hAnsi="仿宋_GB2312" w:eastAsia="仿宋_GB2312" w:cs="仿宋_GB2312"/>
          <w:color w:val="auto"/>
          <w:sz w:val="32"/>
          <w:szCs w:val="32"/>
          <w:highlight w:val="none"/>
        </w:rPr>
        <w:t>亿元、援助其他地区支出</w:t>
      </w:r>
      <w:r>
        <w:rPr>
          <w:rFonts w:hint="eastAsia" w:ascii="仿宋_GB2312" w:hAnsi="仿宋_GB2312" w:eastAsia="仿宋_GB2312" w:cs="仿宋_GB2312"/>
          <w:color w:val="auto"/>
          <w:sz w:val="32"/>
          <w:szCs w:val="32"/>
          <w:highlight w:val="none"/>
          <w:lang w:val="en-US" w:eastAsia="zh-CN"/>
        </w:rPr>
        <w:t>0.25</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年终结转1.24亿元</w:t>
      </w:r>
      <w:r>
        <w:rPr>
          <w:rFonts w:hint="eastAsia" w:ascii="仿宋_GB2312" w:hAnsi="仿宋_GB2312" w:eastAsia="仿宋_GB2312" w:cs="仿宋_GB2312"/>
          <w:color w:val="auto"/>
          <w:sz w:val="32"/>
          <w:szCs w:val="32"/>
          <w:highlight w:val="none"/>
        </w:rPr>
        <w:t>），支出共计</w:t>
      </w:r>
      <w:r>
        <w:rPr>
          <w:rFonts w:hint="eastAsia" w:ascii="仿宋_GB2312" w:hAnsi="仿宋_GB2312" w:eastAsia="仿宋_GB2312" w:cs="仿宋_GB2312"/>
          <w:color w:val="auto"/>
          <w:sz w:val="32"/>
          <w:szCs w:val="32"/>
          <w:highlight w:val="none"/>
          <w:lang w:val="en-US" w:eastAsia="zh-CN"/>
        </w:rPr>
        <w:t>58.94</w:t>
      </w:r>
      <w:r>
        <w:rPr>
          <w:rFonts w:hint="eastAsia" w:ascii="仿宋_GB2312" w:hAnsi="仿宋_GB2312" w:eastAsia="仿宋_GB2312" w:cs="仿宋_GB2312"/>
          <w:color w:val="auto"/>
          <w:sz w:val="32"/>
          <w:szCs w:val="32"/>
          <w:highlight w:val="none"/>
        </w:rPr>
        <w:t>亿元。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收支相抵，一般公共预算预计收支平衡。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基本支出按经济科目分类，机关工资福利支出</w:t>
      </w:r>
      <w:r>
        <w:rPr>
          <w:rFonts w:hint="eastAsia" w:ascii="仿宋_GB2312" w:hAnsi="仿宋_GB2312" w:eastAsia="仿宋_GB2312" w:cs="仿宋_GB2312"/>
          <w:color w:val="auto"/>
          <w:sz w:val="32"/>
          <w:szCs w:val="32"/>
          <w:highlight w:val="none"/>
          <w:lang w:val="en-US" w:eastAsia="zh-CN"/>
        </w:rPr>
        <w:t>8.92</w:t>
      </w:r>
      <w:r>
        <w:rPr>
          <w:rFonts w:hint="eastAsia" w:ascii="仿宋_GB2312" w:hAnsi="仿宋_GB2312" w:eastAsia="仿宋_GB2312" w:cs="仿宋_GB2312"/>
          <w:color w:val="auto"/>
          <w:sz w:val="32"/>
          <w:szCs w:val="32"/>
          <w:highlight w:val="none"/>
        </w:rPr>
        <w:t>亿元，机关商品和服务支出</w:t>
      </w:r>
      <w:r>
        <w:rPr>
          <w:rFonts w:hint="eastAsia" w:ascii="仿宋_GB2312" w:hAnsi="仿宋_GB2312" w:eastAsia="仿宋_GB2312" w:cs="仿宋_GB2312"/>
          <w:color w:val="auto"/>
          <w:sz w:val="32"/>
          <w:szCs w:val="32"/>
          <w:highlight w:val="none"/>
          <w:lang w:val="en-US" w:eastAsia="zh-CN"/>
        </w:rPr>
        <w:t>5964</w:t>
      </w:r>
      <w:r>
        <w:rPr>
          <w:rFonts w:hint="eastAsia" w:ascii="仿宋_GB2312" w:hAnsi="仿宋_GB2312" w:eastAsia="仿宋_GB2312" w:cs="仿宋_GB2312"/>
          <w:color w:val="auto"/>
          <w:sz w:val="32"/>
          <w:szCs w:val="32"/>
          <w:highlight w:val="none"/>
        </w:rPr>
        <w:t>万元，机关资本性支出</w:t>
      </w:r>
      <w:r>
        <w:rPr>
          <w:rFonts w:hint="eastAsia" w:ascii="仿宋_GB2312" w:hAnsi="仿宋_GB2312" w:eastAsia="仿宋_GB2312" w:cs="仿宋_GB2312"/>
          <w:color w:val="auto"/>
          <w:sz w:val="32"/>
          <w:szCs w:val="32"/>
          <w:highlight w:val="none"/>
          <w:lang w:val="en-US" w:eastAsia="zh-CN"/>
        </w:rPr>
        <w:t>220</w:t>
      </w:r>
      <w:r>
        <w:rPr>
          <w:rFonts w:hint="eastAsia" w:ascii="仿宋_GB2312" w:hAnsi="仿宋_GB2312" w:eastAsia="仿宋_GB2312" w:cs="仿宋_GB2312"/>
          <w:color w:val="auto"/>
          <w:sz w:val="32"/>
          <w:szCs w:val="32"/>
          <w:highlight w:val="none"/>
        </w:rPr>
        <w:t>万元，对事业单位经常性补助</w:t>
      </w:r>
      <w:r>
        <w:rPr>
          <w:rFonts w:hint="eastAsia" w:ascii="仿宋_GB2312" w:hAnsi="仿宋_GB2312" w:eastAsia="仿宋_GB2312" w:cs="仿宋_GB2312"/>
          <w:color w:val="auto"/>
          <w:sz w:val="32"/>
          <w:szCs w:val="32"/>
          <w:highlight w:val="none"/>
          <w:lang w:val="en-US" w:eastAsia="zh-CN"/>
        </w:rPr>
        <w:t>12.05</w:t>
      </w:r>
      <w:r>
        <w:rPr>
          <w:rFonts w:hint="eastAsia" w:ascii="仿宋_GB2312" w:hAnsi="仿宋_GB2312" w:eastAsia="仿宋_GB2312" w:cs="仿宋_GB2312"/>
          <w:color w:val="auto"/>
          <w:sz w:val="32"/>
          <w:szCs w:val="32"/>
          <w:highlight w:val="none"/>
        </w:rPr>
        <w:t>亿元，对事业单位资本性补助</w:t>
      </w:r>
      <w:r>
        <w:rPr>
          <w:rFonts w:hint="eastAsia" w:ascii="仿宋_GB2312" w:hAnsi="仿宋_GB2312" w:eastAsia="仿宋_GB2312" w:cs="仿宋_GB2312"/>
          <w:color w:val="auto"/>
          <w:sz w:val="32"/>
          <w:szCs w:val="32"/>
          <w:highlight w:val="none"/>
          <w:lang w:val="en-US" w:eastAsia="zh-CN"/>
        </w:rPr>
        <w:t>300</w:t>
      </w:r>
      <w:r>
        <w:rPr>
          <w:rFonts w:hint="eastAsia" w:ascii="仿宋_GB2312" w:hAnsi="仿宋_GB2312" w:eastAsia="仿宋_GB2312" w:cs="仿宋_GB2312"/>
          <w:color w:val="auto"/>
          <w:sz w:val="32"/>
          <w:szCs w:val="32"/>
          <w:highlight w:val="none"/>
        </w:rPr>
        <w:t>万元，对个人和家庭补助支出</w:t>
      </w:r>
      <w:r>
        <w:rPr>
          <w:rFonts w:hint="eastAsia" w:ascii="仿宋_GB2312" w:hAnsi="仿宋_GB2312" w:eastAsia="仿宋_GB2312" w:cs="仿宋_GB2312"/>
          <w:color w:val="auto"/>
          <w:sz w:val="32"/>
          <w:szCs w:val="32"/>
          <w:highlight w:val="none"/>
          <w:lang w:val="en-US" w:eastAsia="zh-CN"/>
        </w:rPr>
        <w:t>1445</w:t>
      </w:r>
      <w:r>
        <w:rPr>
          <w:rFonts w:hint="eastAsia" w:ascii="仿宋_GB2312" w:hAnsi="仿宋_GB2312" w:eastAsia="仿宋_GB2312" w:cs="仿宋_GB2312"/>
          <w:color w:val="auto"/>
          <w:sz w:val="32"/>
          <w:szCs w:val="32"/>
          <w:highlight w:val="none"/>
        </w:rPr>
        <w:t>万元，合计</w:t>
      </w:r>
      <w:r>
        <w:rPr>
          <w:rFonts w:hint="eastAsia" w:ascii="仿宋_GB2312" w:hAnsi="仿宋_GB2312" w:eastAsia="仿宋_GB2312" w:cs="仿宋_GB2312"/>
          <w:color w:val="auto"/>
          <w:sz w:val="32"/>
          <w:szCs w:val="32"/>
          <w:highlight w:val="none"/>
          <w:lang w:val="en-US" w:eastAsia="zh-CN"/>
        </w:rPr>
        <w:t>21.76</w:t>
      </w:r>
      <w:r>
        <w:rPr>
          <w:rFonts w:hint="eastAsia" w:ascii="仿宋_GB2312" w:hAnsi="仿宋_GB2312" w:eastAsia="仿宋_GB2312" w:cs="仿宋_GB2312"/>
          <w:color w:val="auto"/>
          <w:sz w:val="32"/>
          <w:szCs w:val="32"/>
          <w:highlight w:val="none"/>
        </w:rPr>
        <w:t>亿元，同比增长</w:t>
      </w:r>
      <w:r>
        <w:rPr>
          <w:rFonts w:hint="eastAsia" w:ascii="仿宋_GB2312" w:hAnsi="仿宋_GB2312" w:eastAsia="仿宋_GB2312" w:cs="仿宋_GB2312"/>
          <w:color w:val="auto"/>
          <w:sz w:val="32"/>
          <w:szCs w:val="32"/>
          <w:highlight w:val="none"/>
          <w:lang w:val="en-US" w:eastAsia="zh-CN"/>
        </w:rPr>
        <w:t>0.8</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2．政府性基金预算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年，政府性基金预算收入预期</w:t>
      </w:r>
      <w:r>
        <w:rPr>
          <w:rFonts w:hint="eastAsia" w:ascii="仿宋_GB2312" w:hAnsi="仿宋_GB2312" w:eastAsia="仿宋_GB2312" w:cs="仿宋_GB2312"/>
          <w:color w:val="auto"/>
          <w:sz w:val="32"/>
          <w:szCs w:val="32"/>
          <w:highlight w:val="none"/>
          <w:lang w:val="en-US" w:eastAsia="zh-CN"/>
        </w:rPr>
        <w:t>98.50</w:t>
      </w:r>
      <w:r>
        <w:rPr>
          <w:rFonts w:hint="eastAsia" w:ascii="仿宋_GB2312" w:hAnsi="仿宋_GB2312" w:eastAsia="仿宋_GB2312" w:cs="仿宋_GB2312"/>
          <w:color w:val="auto"/>
          <w:sz w:val="32"/>
          <w:szCs w:val="32"/>
          <w:highlight w:val="none"/>
        </w:rPr>
        <w:t>亿元，同比增长</w:t>
      </w:r>
      <w:r>
        <w:rPr>
          <w:rFonts w:hint="eastAsia" w:ascii="仿宋_GB2312" w:hAnsi="仿宋_GB2312" w:eastAsia="仿宋_GB2312" w:cs="仿宋_GB2312"/>
          <w:color w:val="auto"/>
          <w:sz w:val="32"/>
          <w:szCs w:val="32"/>
          <w:highlight w:val="none"/>
          <w:lang w:val="en-US" w:eastAsia="zh-CN"/>
        </w:rPr>
        <w:t>81.6</w:t>
      </w:r>
      <w:r>
        <w:rPr>
          <w:rFonts w:hint="eastAsia" w:ascii="仿宋_GB2312" w:hAnsi="仿宋_GB2312" w:eastAsia="仿宋_GB2312" w:cs="仿宋_GB2312"/>
          <w:color w:val="auto"/>
          <w:sz w:val="32"/>
          <w:szCs w:val="32"/>
          <w:highlight w:val="none"/>
        </w:rPr>
        <w:t>%，主要科目如下：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国有土地使用权出让收入</w:t>
      </w:r>
      <w:r>
        <w:rPr>
          <w:rFonts w:hint="eastAsia" w:ascii="仿宋_GB2312" w:hAnsi="仿宋_GB2312" w:eastAsia="仿宋_GB2312" w:cs="仿宋_GB2312"/>
          <w:color w:val="auto"/>
          <w:sz w:val="32"/>
          <w:szCs w:val="32"/>
          <w:highlight w:val="none"/>
          <w:lang w:val="en-US" w:eastAsia="zh-CN"/>
        </w:rPr>
        <w:t>94.00</w:t>
      </w:r>
      <w:r>
        <w:rPr>
          <w:rFonts w:hint="eastAsia" w:ascii="仿宋_GB2312" w:hAnsi="仿宋_GB2312" w:eastAsia="仿宋_GB2312" w:cs="仿宋_GB2312"/>
          <w:color w:val="auto"/>
          <w:sz w:val="32"/>
          <w:szCs w:val="32"/>
          <w:highlight w:val="none"/>
        </w:rPr>
        <w:t>亿元，同比增长</w:t>
      </w:r>
      <w:r>
        <w:rPr>
          <w:rFonts w:hint="eastAsia" w:ascii="仿宋_GB2312" w:hAnsi="仿宋_GB2312" w:eastAsia="仿宋_GB2312" w:cs="仿宋_GB2312"/>
          <w:color w:val="auto"/>
          <w:sz w:val="32"/>
          <w:szCs w:val="32"/>
          <w:highlight w:val="none"/>
          <w:lang w:val="en-US" w:eastAsia="zh-CN"/>
        </w:rPr>
        <w:t>113.5</w:t>
      </w:r>
      <w:r>
        <w:rPr>
          <w:rFonts w:hint="eastAsia" w:ascii="仿宋_GB2312" w:hAnsi="仿宋_GB2312" w:eastAsia="仿宋_GB2312" w:cs="仿宋_GB2312"/>
          <w:color w:val="auto"/>
          <w:sz w:val="32"/>
          <w:szCs w:val="32"/>
          <w:highlight w:val="none"/>
        </w:rPr>
        <w:t>%；其他政府性基金收入</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亿元，同比</w:t>
      </w:r>
      <w:r>
        <w:rPr>
          <w:rFonts w:hint="eastAsia" w:ascii="仿宋_GB2312" w:hAnsi="仿宋_GB2312" w:eastAsia="仿宋_GB2312" w:cs="仿宋_GB2312"/>
          <w:color w:val="auto"/>
          <w:sz w:val="32"/>
          <w:szCs w:val="32"/>
          <w:highlight w:val="none"/>
          <w:lang w:val="en-US" w:eastAsia="zh-CN"/>
        </w:rPr>
        <w:t>下降59.0</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none"/>
        </w:rPr>
        <w:t>按照“量入为出、量力而行、收支平衡”原则，拟安排</w:t>
      </w:r>
      <w:r>
        <w:rPr>
          <w:rFonts w:hint="eastAsia" w:ascii="仿宋_GB2312" w:hAnsi="仿宋_GB2312" w:eastAsia="仿宋_GB2312" w:cs="仿宋_GB2312"/>
          <w:color w:val="auto"/>
          <w:sz w:val="32"/>
          <w:szCs w:val="32"/>
          <w:highlight w:val="none"/>
          <w:u w:val="none"/>
          <w:lang w:val="en-US" w:eastAsia="zh-CN"/>
        </w:rPr>
        <w:t>2020</w:t>
      </w:r>
      <w:r>
        <w:rPr>
          <w:rFonts w:hint="eastAsia" w:ascii="仿宋_GB2312" w:hAnsi="仿宋_GB2312" w:eastAsia="仿宋_GB2312" w:cs="仿宋_GB2312"/>
          <w:color w:val="auto"/>
          <w:sz w:val="32"/>
          <w:szCs w:val="32"/>
          <w:highlight w:val="none"/>
          <w:u w:val="none"/>
        </w:rPr>
        <w:t>年政府性基金预</w:t>
      </w:r>
      <w:r>
        <w:rPr>
          <w:rFonts w:hint="eastAsia" w:ascii="仿宋_GB2312" w:hAnsi="仿宋_GB2312" w:eastAsia="仿宋_GB2312" w:cs="仿宋_GB2312"/>
          <w:color w:val="auto"/>
          <w:sz w:val="32"/>
          <w:szCs w:val="32"/>
          <w:highlight w:val="none"/>
        </w:rPr>
        <w:t>算支出</w:t>
      </w:r>
      <w:r>
        <w:rPr>
          <w:rFonts w:hint="eastAsia" w:ascii="仿宋_GB2312" w:hAnsi="仿宋_GB2312" w:eastAsia="仿宋_GB2312" w:cs="仿宋_GB2312"/>
          <w:color w:val="auto"/>
          <w:sz w:val="32"/>
          <w:szCs w:val="32"/>
          <w:highlight w:val="none"/>
          <w:lang w:val="en-US" w:eastAsia="zh-CN"/>
        </w:rPr>
        <w:t>116.02</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val="en-US" w:eastAsia="zh-CN"/>
        </w:rPr>
        <w:t>剔除提前下达新增地方政府债券2亿元，</w:t>
      </w:r>
      <w:r>
        <w:rPr>
          <w:rFonts w:hint="eastAsia" w:ascii="仿宋_GB2312" w:hAnsi="仿宋_GB2312" w:eastAsia="仿宋_GB2312" w:cs="仿宋_GB2312"/>
          <w:color w:val="auto"/>
          <w:sz w:val="32"/>
          <w:szCs w:val="32"/>
          <w:highlight w:val="none"/>
        </w:rPr>
        <w:t>同比增长</w:t>
      </w:r>
      <w:r>
        <w:rPr>
          <w:rFonts w:hint="eastAsia" w:ascii="仿宋_GB2312" w:hAnsi="仿宋_GB2312" w:eastAsia="仿宋_GB2312" w:cs="仿宋_GB2312"/>
          <w:color w:val="auto"/>
          <w:sz w:val="32"/>
          <w:szCs w:val="32"/>
          <w:highlight w:val="none"/>
          <w:lang w:val="en-US" w:eastAsia="zh-CN"/>
        </w:rPr>
        <w:t>39.8</w:t>
      </w:r>
      <w:r>
        <w:rPr>
          <w:rFonts w:hint="eastAsia" w:ascii="仿宋_GB2312" w:hAnsi="仿宋_GB2312" w:eastAsia="仿宋_GB2312" w:cs="仿宋_GB2312"/>
          <w:color w:val="auto"/>
          <w:sz w:val="32"/>
          <w:szCs w:val="32"/>
          <w:highlight w:val="none"/>
        </w:rPr>
        <w:t>%，主要科目如下：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rPr>
        <w:t>城乡社区支出</w:t>
      </w:r>
      <w:r>
        <w:rPr>
          <w:rFonts w:hint="eastAsia" w:ascii="仿宋_GB2312" w:hAnsi="仿宋_GB2312" w:eastAsia="仿宋_GB2312" w:cs="仿宋_GB2312"/>
          <w:color w:val="auto"/>
          <w:sz w:val="32"/>
          <w:szCs w:val="32"/>
          <w:highlight w:val="none"/>
          <w:lang w:val="en-US" w:eastAsia="zh-CN"/>
        </w:rPr>
        <w:t>109.32</w:t>
      </w:r>
      <w:r>
        <w:rPr>
          <w:rFonts w:hint="eastAsia" w:ascii="仿宋_GB2312" w:hAnsi="仿宋_GB2312" w:eastAsia="仿宋_GB2312" w:cs="仿宋_GB2312"/>
          <w:color w:val="auto"/>
          <w:sz w:val="32"/>
          <w:szCs w:val="32"/>
          <w:highlight w:val="none"/>
        </w:rPr>
        <w:t>亿元，同比增长</w:t>
      </w:r>
      <w:r>
        <w:rPr>
          <w:rFonts w:hint="eastAsia" w:ascii="仿宋_GB2312" w:hAnsi="仿宋_GB2312" w:eastAsia="仿宋_GB2312" w:cs="仿宋_GB2312"/>
          <w:color w:val="auto"/>
          <w:sz w:val="32"/>
          <w:szCs w:val="32"/>
          <w:highlight w:val="none"/>
          <w:lang w:val="en-US" w:eastAsia="zh-CN"/>
        </w:rPr>
        <w:t>42.3</w:t>
      </w:r>
      <w:r>
        <w:rPr>
          <w:rFonts w:hint="eastAsia" w:ascii="仿宋_GB2312" w:hAnsi="仿宋_GB2312" w:eastAsia="仿宋_GB2312" w:cs="仿宋_GB2312"/>
          <w:color w:val="auto"/>
          <w:sz w:val="32"/>
          <w:szCs w:val="32"/>
          <w:highlight w:val="none"/>
        </w:rPr>
        <w:t>%；其他支出</w:t>
      </w:r>
      <w:r>
        <w:rPr>
          <w:rFonts w:hint="eastAsia" w:ascii="仿宋_GB2312" w:hAnsi="仿宋_GB2312" w:eastAsia="仿宋_GB2312" w:cs="仿宋_GB2312"/>
          <w:color w:val="auto"/>
          <w:sz w:val="32"/>
          <w:szCs w:val="32"/>
          <w:highlight w:val="none"/>
          <w:lang w:val="en-US" w:eastAsia="zh-CN"/>
        </w:rPr>
        <w:t>4.13</w:t>
      </w:r>
      <w:r>
        <w:rPr>
          <w:rFonts w:hint="eastAsia" w:ascii="仿宋_GB2312" w:hAnsi="仿宋_GB2312" w:eastAsia="仿宋_GB2312" w:cs="仿宋_GB2312"/>
          <w:color w:val="auto"/>
          <w:sz w:val="32"/>
          <w:szCs w:val="32"/>
          <w:highlight w:val="none"/>
        </w:rPr>
        <w:t>亿元，同比下降</w:t>
      </w:r>
      <w:r>
        <w:rPr>
          <w:rFonts w:hint="eastAsia" w:ascii="仿宋_GB2312" w:hAnsi="仿宋_GB2312" w:eastAsia="仿宋_GB2312" w:cs="仿宋_GB2312"/>
          <w:color w:val="auto"/>
          <w:sz w:val="32"/>
          <w:szCs w:val="32"/>
          <w:highlight w:val="none"/>
          <w:lang w:val="en-US" w:eastAsia="zh-CN"/>
        </w:rPr>
        <w:t>18.3</w:t>
      </w:r>
      <w:r>
        <w:rPr>
          <w:rFonts w:hint="eastAsia" w:ascii="仿宋_GB2312" w:hAnsi="仿宋_GB2312" w:eastAsia="仿宋_GB2312" w:cs="仿宋_GB2312"/>
          <w:color w:val="auto"/>
          <w:sz w:val="32"/>
          <w:szCs w:val="32"/>
          <w:highlight w:val="none"/>
        </w:rPr>
        <w:t>%；债务付息支出</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u w:val="none"/>
        </w:rPr>
        <w:t>同比增长</w:t>
      </w:r>
      <w:r>
        <w:rPr>
          <w:rFonts w:hint="eastAsia" w:ascii="仿宋_GB2312" w:hAnsi="仿宋_GB2312" w:eastAsia="仿宋_GB2312" w:cs="仿宋_GB2312"/>
          <w:color w:val="auto"/>
          <w:sz w:val="32"/>
          <w:szCs w:val="32"/>
          <w:highlight w:val="none"/>
          <w:u w:val="none"/>
          <w:lang w:val="en-US" w:eastAsia="zh-CN"/>
        </w:rPr>
        <w:t>143.1</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2020</w:t>
      </w:r>
      <w:r>
        <w:rPr>
          <w:rFonts w:hint="eastAsia" w:ascii="仿宋_GB2312" w:hAnsi="仿宋_GB2312" w:eastAsia="仿宋_GB2312" w:cs="仿宋_GB2312"/>
          <w:color w:val="auto"/>
          <w:sz w:val="32"/>
          <w:szCs w:val="32"/>
          <w:highlight w:val="none"/>
          <w:u w:val="none"/>
        </w:rPr>
        <w:t>年，政府性基金预期收入</w:t>
      </w:r>
      <w:r>
        <w:rPr>
          <w:rFonts w:hint="eastAsia" w:ascii="仿宋_GB2312" w:hAnsi="仿宋_GB2312" w:eastAsia="仿宋_GB2312" w:cs="仿宋_GB2312"/>
          <w:color w:val="auto"/>
          <w:sz w:val="32"/>
          <w:szCs w:val="32"/>
          <w:highlight w:val="none"/>
          <w:u w:val="none"/>
          <w:lang w:val="en-US" w:eastAsia="zh-CN"/>
        </w:rPr>
        <w:t>98.50</w:t>
      </w:r>
      <w:r>
        <w:rPr>
          <w:rFonts w:hint="eastAsia" w:ascii="仿宋_GB2312" w:hAnsi="仿宋_GB2312" w:eastAsia="仿宋_GB2312" w:cs="仿宋_GB2312"/>
          <w:color w:val="auto"/>
          <w:sz w:val="32"/>
          <w:szCs w:val="32"/>
          <w:highlight w:val="none"/>
          <w:u w:val="none"/>
        </w:rPr>
        <w:t>亿元，上级补助收入</w:t>
      </w:r>
      <w:r>
        <w:rPr>
          <w:rFonts w:hint="eastAsia" w:ascii="仿宋_GB2312" w:hAnsi="仿宋_GB2312" w:eastAsia="仿宋_GB2312" w:cs="仿宋_GB2312"/>
          <w:color w:val="auto"/>
          <w:sz w:val="32"/>
          <w:szCs w:val="32"/>
          <w:highlight w:val="none"/>
          <w:u w:val="none"/>
          <w:lang w:val="en-US" w:eastAsia="zh-CN"/>
        </w:rPr>
        <w:t>26.08</w:t>
      </w:r>
      <w:r>
        <w:rPr>
          <w:rFonts w:hint="eastAsia" w:ascii="仿宋_GB2312" w:hAnsi="仿宋_GB2312" w:eastAsia="仿宋_GB2312" w:cs="仿宋_GB2312"/>
          <w:color w:val="auto"/>
          <w:sz w:val="32"/>
          <w:szCs w:val="32"/>
          <w:highlight w:val="none"/>
          <w:u w:val="none"/>
        </w:rPr>
        <w:t>亿元，地方政府专项债务转贷收入</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亿元，上年结转</w:t>
      </w:r>
      <w:r>
        <w:rPr>
          <w:rFonts w:hint="eastAsia" w:ascii="仿宋_GB2312" w:hAnsi="仿宋_GB2312" w:eastAsia="仿宋_GB2312" w:cs="仿宋_GB2312"/>
          <w:color w:val="auto"/>
          <w:sz w:val="32"/>
          <w:szCs w:val="32"/>
          <w:highlight w:val="none"/>
          <w:u w:val="none"/>
          <w:lang w:val="en-US" w:eastAsia="zh-CN"/>
        </w:rPr>
        <w:t>0.88</w:t>
      </w:r>
      <w:r>
        <w:rPr>
          <w:rFonts w:hint="eastAsia" w:ascii="仿宋_GB2312" w:hAnsi="仿宋_GB2312" w:eastAsia="仿宋_GB2312" w:cs="仿宋_GB2312"/>
          <w:color w:val="auto"/>
          <w:sz w:val="32"/>
          <w:szCs w:val="32"/>
          <w:highlight w:val="none"/>
          <w:u w:val="none"/>
        </w:rPr>
        <w:t>亿元，收入共计</w:t>
      </w:r>
      <w:r>
        <w:rPr>
          <w:rFonts w:hint="eastAsia" w:ascii="仿宋_GB2312" w:hAnsi="仿宋_GB2312" w:eastAsia="仿宋_GB2312" w:cs="仿宋_GB2312"/>
          <w:color w:val="auto"/>
          <w:sz w:val="32"/>
          <w:szCs w:val="32"/>
          <w:highlight w:val="none"/>
          <w:u w:val="none"/>
          <w:lang w:val="en-US" w:eastAsia="zh-CN"/>
        </w:rPr>
        <w:t>127.46</w:t>
      </w:r>
      <w:r>
        <w:rPr>
          <w:rFonts w:hint="eastAsia" w:ascii="仿宋_GB2312" w:hAnsi="仿宋_GB2312" w:eastAsia="仿宋_GB2312" w:cs="仿宋_GB2312"/>
          <w:color w:val="auto"/>
          <w:sz w:val="32"/>
          <w:szCs w:val="32"/>
          <w:highlight w:val="none"/>
          <w:u w:val="none"/>
        </w:rPr>
        <w:t>亿元。政府性基金拟安排支出</w:t>
      </w:r>
      <w:r>
        <w:rPr>
          <w:rFonts w:hint="eastAsia" w:ascii="仿宋_GB2312" w:hAnsi="仿宋_GB2312" w:eastAsia="仿宋_GB2312" w:cs="仿宋_GB2312"/>
          <w:color w:val="auto"/>
          <w:sz w:val="32"/>
          <w:szCs w:val="32"/>
          <w:highlight w:val="none"/>
          <w:u w:val="none"/>
          <w:lang w:val="en-US" w:eastAsia="zh-CN"/>
        </w:rPr>
        <w:t>116.03</w:t>
      </w:r>
      <w:r>
        <w:rPr>
          <w:rFonts w:hint="eastAsia" w:ascii="仿宋_GB2312" w:hAnsi="仿宋_GB2312" w:eastAsia="仿宋_GB2312" w:cs="仿宋_GB2312"/>
          <w:color w:val="auto"/>
          <w:sz w:val="32"/>
          <w:szCs w:val="32"/>
          <w:highlight w:val="none"/>
          <w:u w:val="none"/>
        </w:rPr>
        <w:t>亿元，政府性基金调出</w:t>
      </w:r>
      <w:r>
        <w:rPr>
          <w:rFonts w:hint="eastAsia" w:ascii="仿宋_GB2312" w:hAnsi="仿宋_GB2312" w:eastAsia="仿宋_GB2312" w:cs="仿宋_GB2312"/>
          <w:color w:val="auto"/>
          <w:sz w:val="32"/>
          <w:szCs w:val="32"/>
          <w:highlight w:val="none"/>
          <w:u w:val="none"/>
          <w:lang w:val="en-US" w:eastAsia="zh-CN"/>
        </w:rPr>
        <w:t>11.43</w:t>
      </w:r>
      <w:r>
        <w:rPr>
          <w:rFonts w:hint="eastAsia" w:ascii="仿宋_GB2312" w:hAnsi="仿宋_GB2312" w:eastAsia="仿宋_GB2312" w:cs="仿宋_GB2312"/>
          <w:color w:val="auto"/>
          <w:sz w:val="32"/>
          <w:szCs w:val="32"/>
          <w:highlight w:val="none"/>
          <w:u w:val="none"/>
        </w:rPr>
        <w:t>亿元</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支出共计</w:t>
      </w:r>
      <w:r>
        <w:rPr>
          <w:rFonts w:hint="eastAsia" w:ascii="仿宋_GB2312" w:hAnsi="仿宋_GB2312" w:eastAsia="仿宋_GB2312" w:cs="仿宋_GB2312"/>
          <w:color w:val="auto"/>
          <w:sz w:val="32"/>
          <w:szCs w:val="32"/>
          <w:highlight w:val="none"/>
          <w:u w:val="none"/>
          <w:lang w:val="en-US" w:eastAsia="zh-CN"/>
        </w:rPr>
        <w:t>127.46</w:t>
      </w:r>
      <w:r>
        <w:rPr>
          <w:rFonts w:hint="eastAsia" w:ascii="仿宋_GB2312" w:hAnsi="仿宋_GB2312" w:eastAsia="仿宋_GB2312" w:cs="仿宋_GB2312"/>
          <w:color w:val="auto"/>
          <w:sz w:val="32"/>
          <w:szCs w:val="32"/>
          <w:highlight w:val="none"/>
          <w:u w:val="none"/>
        </w:rPr>
        <w:t>亿元。收支相抵，政府性基金预计收支平衡。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3．国有资本经营预算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20</w:t>
      </w:r>
      <w:r>
        <w:rPr>
          <w:rFonts w:hint="eastAsia" w:ascii="仿宋_GB2312" w:hAnsi="仿宋_GB2312" w:eastAsia="仿宋_GB2312" w:cs="仿宋_GB2312"/>
          <w:color w:val="auto"/>
          <w:sz w:val="32"/>
          <w:szCs w:val="32"/>
          <w:highlight w:val="none"/>
          <w:u w:val="none"/>
          <w:lang w:val="en-US" w:eastAsia="zh-CN"/>
        </w:rPr>
        <w:t>20</w:t>
      </w:r>
      <w:r>
        <w:rPr>
          <w:rFonts w:hint="eastAsia" w:ascii="仿宋_GB2312" w:hAnsi="仿宋_GB2312" w:eastAsia="仿宋_GB2312" w:cs="仿宋_GB2312"/>
          <w:color w:val="auto"/>
          <w:sz w:val="32"/>
          <w:szCs w:val="32"/>
          <w:highlight w:val="none"/>
          <w:u w:val="none"/>
        </w:rPr>
        <w:t>年国有资本经营预算收入预期</w:t>
      </w:r>
      <w:r>
        <w:rPr>
          <w:rFonts w:hint="eastAsia" w:ascii="仿宋_GB2312" w:hAnsi="仿宋_GB2312" w:eastAsia="仿宋_GB2312" w:cs="仿宋_GB2312"/>
          <w:color w:val="auto"/>
          <w:sz w:val="32"/>
          <w:szCs w:val="32"/>
          <w:highlight w:val="none"/>
          <w:u w:val="none"/>
          <w:lang w:val="en-US" w:eastAsia="zh-CN"/>
        </w:rPr>
        <w:t>40</w:t>
      </w:r>
      <w:r>
        <w:rPr>
          <w:rFonts w:hint="eastAsia" w:ascii="仿宋_GB2312" w:hAnsi="仿宋_GB2312" w:eastAsia="仿宋_GB2312" w:cs="仿宋_GB2312"/>
          <w:color w:val="auto"/>
          <w:sz w:val="32"/>
          <w:szCs w:val="32"/>
          <w:highlight w:val="none"/>
          <w:u w:val="none"/>
        </w:rPr>
        <w:t>万元</w:t>
      </w:r>
      <w:r>
        <w:rPr>
          <w:rFonts w:hint="eastAsia" w:ascii="仿宋_GB2312" w:hAnsi="仿宋_GB2312" w:eastAsia="仿宋_GB2312" w:cs="仿宋_GB2312"/>
          <w:color w:val="auto"/>
          <w:sz w:val="32"/>
          <w:szCs w:val="32"/>
          <w:highlight w:val="none"/>
          <w:u w:val="none"/>
          <w:lang w:eastAsia="zh-CN"/>
        </w:rPr>
        <w:t>，剔除不可比因素，同比增长</w:t>
      </w:r>
      <w:r>
        <w:rPr>
          <w:rFonts w:hint="eastAsia" w:ascii="仿宋_GB2312" w:hAnsi="仿宋_GB2312" w:eastAsia="仿宋_GB2312" w:cs="仿宋_GB2312"/>
          <w:color w:val="auto"/>
          <w:sz w:val="32"/>
          <w:szCs w:val="32"/>
          <w:highlight w:val="none"/>
          <w:u w:val="none"/>
          <w:lang w:val="en-US" w:eastAsia="zh-CN"/>
        </w:rPr>
        <w:t>100.0%</w:t>
      </w:r>
      <w:r>
        <w:rPr>
          <w:rFonts w:hint="eastAsia" w:ascii="仿宋_GB2312" w:hAnsi="仿宋_GB2312" w:eastAsia="仿宋_GB2312" w:cs="仿宋_GB2312"/>
          <w:color w:val="auto"/>
          <w:sz w:val="32"/>
          <w:szCs w:val="32"/>
          <w:highlight w:val="none"/>
          <w:u w:val="none"/>
        </w:rPr>
        <w:t>。根据“以收定支”原则，拟安排国有资本经营预算支出</w:t>
      </w:r>
      <w:r>
        <w:rPr>
          <w:rFonts w:hint="eastAsia" w:ascii="仿宋_GB2312" w:hAnsi="仿宋_GB2312" w:eastAsia="仿宋_GB2312" w:cs="仿宋_GB2312"/>
          <w:color w:val="auto"/>
          <w:sz w:val="32"/>
          <w:szCs w:val="32"/>
          <w:highlight w:val="none"/>
          <w:u w:val="none"/>
          <w:lang w:val="en-US" w:eastAsia="zh-CN"/>
        </w:rPr>
        <w:t>40</w:t>
      </w:r>
      <w:r>
        <w:rPr>
          <w:rFonts w:hint="eastAsia" w:ascii="仿宋_GB2312" w:hAnsi="仿宋_GB2312" w:eastAsia="仿宋_GB2312" w:cs="仿宋_GB2312"/>
          <w:color w:val="auto"/>
          <w:sz w:val="32"/>
          <w:szCs w:val="32"/>
          <w:highlight w:val="none"/>
          <w:u w:val="none"/>
        </w:rPr>
        <w:t>万元</w:t>
      </w:r>
      <w:r>
        <w:rPr>
          <w:rFonts w:hint="eastAsia" w:ascii="仿宋_GB2312" w:hAnsi="仿宋_GB2312" w:eastAsia="仿宋_GB2312" w:cs="仿宋_GB2312"/>
          <w:color w:val="auto"/>
          <w:sz w:val="32"/>
          <w:szCs w:val="32"/>
          <w:highlight w:val="none"/>
          <w:u w:val="none"/>
          <w:lang w:eastAsia="zh-CN"/>
        </w:rPr>
        <w:t>，剔除不可比因素，同比增长</w:t>
      </w:r>
      <w:r>
        <w:rPr>
          <w:rFonts w:hint="eastAsia" w:ascii="仿宋_GB2312" w:hAnsi="仿宋_GB2312" w:eastAsia="仿宋_GB2312" w:cs="仿宋_GB2312"/>
          <w:color w:val="auto"/>
          <w:sz w:val="32"/>
          <w:szCs w:val="32"/>
          <w:highlight w:val="none"/>
          <w:u w:val="none"/>
          <w:lang w:val="en-US" w:eastAsia="zh-CN"/>
        </w:rPr>
        <w:t>11.1%</w:t>
      </w:r>
      <w:r>
        <w:rPr>
          <w:rFonts w:hint="eastAsia" w:ascii="仿宋_GB2312" w:hAnsi="仿宋_GB2312" w:eastAsia="仿宋_GB2312" w:cs="仿宋_GB2312"/>
          <w:color w:val="auto"/>
          <w:sz w:val="32"/>
          <w:szCs w:val="32"/>
          <w:highlight w:val="none"/>
          <w:u w:val="none"/>
        </w:rPr>
        <w:t>。收支相抵，国有资本经营预算预计收支平衡。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4．社会保险基金预算</w:t>
      </w:r>
    </w:p>
    <w:p>
      <w:pPr>
        <w:keepNext w:val="0"/>
        <w:keepLines w:val="0"/>
        <w:pageBreakBefore w:val="0"/>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8"/>
          <w:sz w:val="32"/>
          <w:szCs w:val="32"/>
          <w:highlight w:val="none"/>
        </w:rPr>
        <w:t>20</w:t>
      </w:r>
      <w:r>
        <w:rPr>
          <w:rFonts w:hint="eastAsia" w:ascii="仿宋_GB2312" w:hAnsi="仿宋_GB2312" w:eastAsia="仿宋_GB2312" w:cs="仿宋_GB2312"/>
          <w:color w:val="auto"/>
          <w:spacing w:val="-8"/>
          <w:sz w:val="32"/>
          <w:szCs w:val="32"/>
          <w:highlight w:val="none"/>
          <w:lang w:val="en-US" w:eastAsia="zh-CN"/>
        </w:rPr>
        <w:t>20</w:t>
      </w:r>
      <w:r>
        <w:rPr>
          <w:rFonts w:hint="eastAsia" w:ascii="仿宋_GB2312" w:hAnsi="仿宋_GB2312" w:eastAsia="仿宋_GB2312" w:cs="仿宋_GB2312"/>
          <w:color w:val="auto"/>
          <w:spacing w:val="-8"/>
          <w:sz w:val="32"/>
          <w:szCs w:val="32"/>
          <w:highlight w:val="none"/>
        </w:rPr>
        <w:t>年，我区社会保险基金纳入市级社会保险基金预算。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5．地方政府债务预算</w:t>
      </w:r>
    </w:p>
    <w:p>
      <w:pPr>
        <w:keepNext w:val="0"/>
        <w:keepLines w:val="0"/>
        <w:pageBreakBefore w:val="0"/>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color w:val="auto"/>
          <w:spacing w:val="-8"/>
          <w:sz w:val="32"/>
          <w:szCs w:val="32"/>
          <w:highlight w:val="none"/>
        </w:rPr>
      </w:pPr>
      <w:r>
        <w:rPr>
          <w:rFonts w:hint="eastAsia" w:ascii="仿宋_GB2312" w:hAnsi="仿宋_GB2312" w:eastAsia="仿宋_GB2312" w:cs="仿宋_GB2312"/>
          <w:color w:val="auto"/>
          <w:spacing w:val="-8"/>
          <w:sz w:val="32"/>
          <w:szCs w:val="32"/>
          <w:highlight w:val="none"/>
        </w:rPr>
        <w:t>20</w:t>
      </w:r>
      <w:r>
        <w:rPr>
          <w:rFonts w:hint="eastAsia" w:ascii="仿宋_GB2312" w:hAnsi="仿宋_GB2312" w:eastAsia="仿宋_GB2312" w:cs="仿宋_GB2312"/>
          <w:color w:val="auto"/>
          <w:spacing w:val="-8"/>
          <w:sz w:val="32"/>
          <w:szCs w:val="32"/>
          <w:highlight w:val="none"/>
          <w:lang w:val="en-US" w:eastAsia="zh-CN"/>
        </w:rPr>
        <w:t>20</w:t>
      </w:r>
      <w:r>
        <w:rPr>
          <w:rFonts w:hint="eastAsia" w:ascii="仿宋_GB2312" w:hAnsi="仿宋_GB2312" w:eastAsia="仿宋_GB2312" w:cs="仿宋_GB2312"/>
          <w:color w:val="auto"/>
          <w:spacing w:val="-8"/>
          <w:sz w:val="32"/>
          <w:szCs w:val="32"/>
          <w:highlight w:val="none"/>
        </w:rPr>
        <w:t>年省财政厅预下达新增</w:t>
      </w:r>
      <w:r>
        <w:rPr>
          <w:rFonts w:hint="eastAsia" w:ascii="仿宋_GB2312" w:hAnsi="仿宋_GB2312" w:eastAsia="仿宋_GB2312" w:cs="仿宋_GB2312"/>
          <w:color w:val="auto"/>
          <w:spacing w:val="-8"/>
          <w:sz w:val="32"/>
          <w:szCs w:val="32"/>
          <w:highlight w:val="none"/>
          <w:lang w:val="en-US" w:eastAsia="zh-CN"/>
        </w:rPr>
        <w:t>一般债券1.5亿元、</w:t>
      </w:r>
      <w:r>
        <w:rPr>
          <w:rFonts w:hint="eastAsia" w:ascii="仿宋_GB2312" w:hAnsi="仿宋_GB2312" w:eastAsia="仿宋_GB2312" w:cs="仿宋_GB2312"/>
          <w:color w:val="auto"/>
          <w:spacing w:val="-8"/>
          <w:sz w:val="32"/>
          <w:szCs w:val="32"/>
          <w:highlight w:val="none"/>
        </w:rPr>
        <w:t>专项债券</w:t>
      </w:r>
      <w:r>
        <w:rPr>
          <w:rFonts w:hint="eastAsia" w:ascii="仿宋_GB2312" w:hAnsi="仿宋_GB2312" w:eastAsia="仿宋_GB2312" w:cs="仿宋_GB2312"/>
          <w:color w:val="auto"/>
          <w:spacing w:val="-8"/>
          <w:sz w:val="32"/>
          <w:szCs w:val="32"/>
          <w:highlight w:val="none"/>
          <w:lang w:val="en-US" w:eastAsia="zh-CN"/>
        </w:rPr>
        <w:t>2</w:t>
      </w:r>
      <w:r>
        <w:rPr>
          <w:rFonts w:hint="eastAsia" w:ascii="仿宋_GB2312" w:hAnsi="仿宋_GB2312" w:eastAsia="仿宋_GB2312" w:cs="仿宋_GB2312"/>
          <w:color w:val="auto"/>
          <w:spacing w:val="-8"/>
          <w:sz w:val="32"/>
          <w:szCs w:val="32"/>
          <w:highlight w:val="none"/>
        </w:rPr>
        <w:t>亿元，核定限额为</w:t>
      </w:r>
      <w:r>
        <w:rPr>
          <w:rFonts w:hint="eastAsia" w:ascii="仿宋_GB2312" w:hAnsi="仿宋_GB2312" w:eastAsia="仿宋_GB2312" w:cs="仿宋_GB2312"/>
          <w:color w:val="auto"/>
          <w:spacing w:val="-8"/>
          <w:sz w:val="32"/>
          <w:szCs w:val="32"/>
          <w:highlight w:val="none"/>
          <w:lang w:val="en-US" w:eastAsia="zh-CN"/>
        </w:rPr>
        <w:t>64.98</w:t>
      </w:r>
      <w:r>
        <w:rPr>
          <w:rFonts w:hint="eastAsia" w:ascii="仿宋_GB2312" w:hAnsi="仿宋_GB2312" w:eastAsia="仿宋_GB2312" w:cs="仿宋_GB2312"/>
          <w:color w:val="auto"/>
          <w:spacing w:val="-8"/>
          <w:sz w:val="32"/>
          <w:szCs w:val="32"/>
          <w:highlight w:val="none"/>
        </w:rPr>
        <w:t>亿元，</w:t>
      </w:r>
      <w:r>
        <w:rPr>
          <w:rFonts w:ascii="仿宋_GB2312" w:hAnsi="仿宋_GB2312" w:eastAsia="仿宋_GB2312" w:cs="仿宋_GB2312"/>
          <w:color w:val="auto"/>
          <w:spacing w:val="-8"/>
          <w:sz w:val="32"/>
          <w:szCs w:val="32"/>
          <w:highlight w:val="none"/>
        </w:rPr>
        <w:t>其中</w:t>
      </w:r>
      <w:r>
        <w:rPr>
          <w:rFonts w:hint="eastAsia" w:ascii="仿宋_GB2312" w:hAnsi="仿宋_GB2312" w:eastAsia="仿宋_GB2312" w:cs="仿宋_GB2312"/>
          <w:color w:val="auto"/>
          <w:spacing w:val="-8"/>
          <w:sz w:val="32"/>
          <w:szCs w:val="32"/>
          <w:highlight w:val="none"/>
        </w:rPr>
        <w:t>：</w:t>
      </w:r>
      <w:r>
        <w:rPr>
          <w:rFonts w:ascii="仿宋_GB2312" w:hAnsi="仿宋_GB2312" w:eastAsia="仿宋_GB2312" w:cs="仿宋_GB2312"/>
          <w:color w:val="auto"/>
          <w:spacing w:val="-8"/>
          <w:sz w:val="32"/>
          <w:szCs w:val="32"/>
          <w:highlight w:val="none"/>
        </w:rPr>
        <w:t>一般</w:t>
      </w:r>
      <w:r>
        <w:rPr>
          <w:rFonts w:hint="eastAsia" w:ascii="仿宋_GB2312" w:hAnsi="仿宋_GB2312" w:eastAsia="仿宋_GB2312" w:cs="仿宋_GB2312"/>
          <w:color w:val="auto"/>
          <w:spacing w:val="-8"/>
          <w:sz w:val="32"/>
          <w:szCs w:val="32"/>
          <w:highlight w:val="none"/>
        </w:rPr>
        <w:t>债券</w:t>
      </w:r>
      <w:r>
        <w:rPr>
          <w:rFonts w:hint="eastAsia" w:ascii="仿宋_GB2312" w:hAnsi="仿宋_GB2312" w:eastAsia="仿宋_GB2312" w:cs="仿宋_GB2312"/>
          <w:color w:val="auto"/>
          <w:spacing w:val="-8"/>
          <w:sz w:val="32"/>
          <w:szCs w:val="32"/>
          <w:highlight w:val="none"/>
          <w:lang w:val="en-US" w:eastAsia="zh-CN"/>
        </w:rPr>
        <w:t>16.61</w:t>
      </w:r>
      <w:r>
        <w:rPr>
          <w:rFonts w:hint="eastAsia" w:ascii="仿宋_GB2312" w:hAnsi="仿宋_GB2312" w:eastAsia="仿宋_GB2312" w:cs="仿宋_GB2312"/>
          <w:color w:val="auto"/>
          <w:spacing w:val="-8"/>
          <w:sz w:val="32"/>
          <w:szCs w:val="32"/>
          <w:highlight w:val="none"/>
        </w:rPr>
        <w:t>亿元，</w:t>
      </w:r>
      <w:r>
        <w:rPr>
          <w:rFonts w:ascii="仿宋_GB2312" w:hAnsi="仿宋_GB2312" w:eastAsia="仿宋_GB2312" w:cs="仿宋_GB2312"/>
          <w:color w:val="auto"/>
          <w:spacing w:val="-8"/>
          <w:sz w:val="32"/>
          <w:szCs w:val="32"/>
          <w:highlight w:val="none"/>
        </w:rPr>
        <w:t>专项</w:t>
      </w:r>
      <w:r>
        <w:rPr>
          <w:rFonts w:hint="eastAsia" w:ascii="仿宋_GB2312" w:hAnsi="仿宋_GB2312" w:eastAsia="仿宋_GB2312" w:cs="仿宋_GB2312"/>
          <w:color w:val="auto"/>
          <w:spacing w:val="-8"/>
          <w:sz w:val="32"/>
          <w:szCs w:val="32"/>
          <w:highlight w:val="none"/>
        </w:rPr>
        <w:t>债券</w:t>
      </w:r>
      <w:r>
        <w:rPr>
          <w:rFonts w:hint="eastAsia" w:ascii="仿宋_GB2312" w:hAnsi="仿宋_GB2312" w:eastAsia="仿宋_GB2312" w:cs="仿宋_GB2312"/>
          <w:color w:val="auto"/>
          <w:spacing w:val="-8"/>
          <w:sz w:val="32"/>
          <w:szCs w:val="32"/>
          <w:highlight w:val="none"/>
          <w:lang w:val="en-US" w:eastAsia="zh-CN"/>
        </w:rPr>
        <w:t>48.37</w:t>
      </w:r>
      <w:r>
        <w:rPr>
          <w:rFonts w:hint="eastAsia" w:ascii="仿宋_GB2312" w:hAnsi="仿宋_GB2312" w:eastAsia="仿宋_GB2312" w:cs="仿宋_GB2312"/>
          <w:color w:val="auto"/>
          <w:spacing w:val="-8"/>
          <w:sz w:val="32"/>
          <w:szCs w:val="32"/>
          <w:highlight w:val="none"/>
        </w:rPr>
        <w:t>亿元。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rPr>
        <w:t>年财政工作的主要任务</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color w:val="auto"/>
          <w:sz w:val="32"/>
          <w:szCs w:val="32"/>
          <w:highlight w:val="none"/>
        </w:rPr>
        <w:t>为全面完成20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年各项工作任务，</w:t>
      </w:r>
      <w:r>
        <w:rPr>
          <w:rFonts w:hint="eastAsia" w:ascii="仿宋_GB2312" w:hAnsi="仿宋_GB2312" w:eastAsia="仿宋_GB2312" w:cs="仿宋_GB2312"/>
          <w:bCs/>
          <w:color w:val="auto"/>
          <w:kern w:val="0"/>
          <w:sz w:val="32"/>
          <w:szCs w:val="32"/>
          <w:highlight w:val="none"/>
        </w:rPr>
        <w:t>我们</w:t>
      </w:r>
      <w:r>
        <w:rPr>
          <w:rFonts w:hint="eastAsia" w:ascii="仿宋_GB2312" w:hAnsi="仿宋_GB2312" w:eastAsia="仿宋_GB2312" w:cs="仿宋_GB2312"/>
          <w:color w:val="auto"/>
          <w:sz w:val="32"/>
          <w:szCs w:val="32"/>
          <w:highlight w:val="none"/>
        </w:rPr>
        <w:t>将按照区委</w:t>
      </w:r>
      <w:r>
        <w:rPr>
          <w:rFonts w:hint="eastAsia" w:ascii="仿宋_GB2312" w:hAnsi="仿宋_GB2312" w:eastAsia="仿宋_GB2312" w:cs="仿宋_GB2312"/>
          <w:color w:val="auto"/>
          <w:sz w:val="32"/>
          <w:szCs w:val="32"/>
          <w:highlight w:val="none"/>
          <w:lang w:eastAsia="zh-CN"/>
        </w:rPr>
        <w:t>、区政府</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决策</w:t>
      </w:r>
      <w:r>
        <w:rPr>
          <w:rFonts w:hint="eastAsia" w:ascii="仿宋_GB2312" w:hAnsi="仿宋_GB2312" w:eastAsia="仿宋_GB2312" w:cs="仿宋_GB2312"/>
          <w:color w:val="auto"/>
          <w:sz w:val="32"/>
          <w:szCs w:val="32"/>
          <w:highlight w:val="none"/>
        </w:rPr>
        <w:t>部署，</w:t>
      </w:r>
      <w:r>
        <w:rPr>
          <w:rFonts w:hint="eastAsia" w:ascii="仿宋_GB2312" w:hAnsi="仿宋_GB2312" w:eastAsia="仿宋_GB2312" w:cs="仿宋_GB2312"/>
          <w:bCs/>
          <w:color w:val="auto"/>
          <w:kern w:val="0"/>
          <w:sz w:val="32"/>
          <w:szCs w:val="32"/>
          <w:highlight w:val="none"/>
        </w:rPr>
        <w:t>重点做好以下几方面工作：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（一）打好三大攻坚战，夯实小康社会基石。</w:t>
      </w:r>
      <w:r>
        <w:rPr>
          <w:rFonts w:hint="eastAsia" w:ascii="仿宋_GB2312" w:hAnsi="仿宋_GB2312" w:eastAsia="仿宋_GB2312" w:cs="仿宋_GB2312"/>
          <w:color w:val="auto"/>
          <w:sz w:val="32"/>
          <w:szCs w:val="32"/>
          <w:highlight w:val="none"/>
          <w:lang w:val="en-US" w:eastAsia="zh-CN"/>
        </w:rPr>
        <w:t>持续防范化解债务重大风险，厘清政府和企业的偿债责任，依法依规承接地方政府存量隐性债务，切实防范地方政府债务风险，试点先行、分类推进存量融资平台公司市场化转型，以点带面实施全面转型。</w:t>
      </w:r>
      <w:r>
        <w:rPr>
          <w:rFonts w:hint="eastAsia" w:ascii="仿宋_GB2312" w:hAnsi="仿宋_GB2312" w:eastAsia="仿宋_GB2312" w:cs="仿宋_GB2312"/>
          <w:b w:val="0"/>
          <w:bCs w:val="0"/>
          <w:color w:val="auto"/>
          <w:sz w:val="32"/>
          <w:szCs w:val="32"/>
          <w:highlight w:val="none"/>
          <w:lang w:val="en-US" w:eastAsia="zh-CN"/>
        </w:rPr>
        <w:t>扎实做好财政扶贫资金保障，探索折股量化扶贫方式，公开公正精准特惠贫困户，向丧失劳动力或弱劳动力的低收入农户、贫困残疾户倾向，加强扶贫资金监管，提高资金使用绩效。按照“治源控污、长效管理”的基本思路，以巩固剿劣成果，确保水质不反弹为重点，全年计划安排排水管网全域整治建设资金2.93亿元，全力助推永中和状元街道创成“污水零直排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sz w:val="32"/>
          <w:szCs w:val="32"/>
          <w:highlight w:val="none"/>
          <w:lang w:val="en-US" w:eastAsia="zh-CN"/>
        </w:rPr>
        <w:t>（二）集中财力办大事，保障民生事业发展。</w:t>
      </w:r>
      <w:r>
        <w:rPr>
          <w:rFonts w:hint="eastAsia" w:ascii="FangSong_GB2312" w:hAnsi="FangSong_GB2312" w:eastAsia="FangSong_GB2312"/>
          <w:color w:val="auto"/>
          <w:sz w:val="32"/>
        </w:rPr>
        <w:t>紧扣</w:t>
      </w:r>
      <w:r>
        <w:rPr>
          <w:rFonts w:hint="eastAsia" w:ascii="FangSong_GB2312" w:hAnsi="FangSong_GB2312" w:eastAsia="FangSong_GB2312"/>
          <w:color w:val="auto"/>
          <w:sz w:val="32"/>
          <w:lang w:eastAsia="zh-CN"/>
        </w:rPr>
        <w:t>区</w:t>
      </w:r>
      <w:r>
        <w:rPr>
          <w:rFonts w:hint="eastAsia" w:ascii="FangSong_GB2312" w:hAnsi="FangSong_GB2312" w:eastAsia="FangSong_GB2312"/>
          <w:color w:val="auto"/>
          <w:sz w:val="32"/>
        </w:rPr>
        <w:t>委、</w:t>
      </w:r>
      <w:r>
        <w:rPr>
          <w:rFonts w:hint="eastAsia" w:ascii="FangSong_GB2312" w:hAnsi="FangSong_GB2312" w:eastAsia="FangSong_GB2312"/>
          <w:color w:val="auto"/>
          <w:sz w:val="32"/>
          <w:lang w:eastAsia="zh-CN"/>
        </w:rPr>
        <w:t>区</w:t>
      </w:r>
      <w:r>
        <w:rPr>
          <w:rFonts w:hint="eastAsia" w:ascii="FangSong_GB2312" w:hAnsi="FangSong_GB2312" w:eastAsia="FangSong_GB2312"/>
          <w:color w:val="auto"/>
          <w:sz w:val="32"/>
        </w:rPr>
        <w:t>政府重大决策部署特别是</w:t>
      </w:r>
      <w:r>
        <w:rPr>
          <w:rFonts w:hint="eastAsia" w:ascii="TimesNewRomanPSMT" w:hAnsi="TimesNewRomanPSMT" w:eastAsia="TimesNewRomanPSMT"/>
          <w:color w:val="auto"/>
          <w:sz w:val="32"/>
        </w:rPr>
        <w:t>“</w:t>
      </w:r>
      <w:r>
        <w:rPr>
          <w:rFonts w:hint="eastAsia" w:ascii="FangSong_GB2312" w:hAnsi="FangSong_GB2312" w:eastAsia="FangSong_GB2312"/>
          <w:color w:val="auto"/>
          <w:sz w:val="32"/>
        </w:rPr>
        <w:t>六重</w:t>
      </w:r>
      <w:r>
        <w:rPr>
          <w:rFonts w:hint="eastAsia" w:ascii="TimesNewRomanPSMT" w:hAnsi="TimesNewRomanPSMT" w:eastAsia="TimesNewRomanPSMT"/>
          <w:color w:val="auto"/>
          <w:sz w:val="32"/>
        </w:rPr>
        <w:t>”</w:t>
      </w:r>
      <w:r>
        <w:rPr>
          <w:rFonts w:hint="eastAsia" w:ascii="FangSong_GB2312" w:hAnsi="FangSong_GB2312" w:eastAsia="FangSong_GB2312"/>
          <w:color w:val="auto"/>
          <w:sz w:val="32"/>
        </w:rPr>
        <w:t>清单要求，</w:t>
      </w:r>
      <w:r>
        <w:rPr>
          <w:rFonts w:hint="eastAsia" w:ascii="FangSong_GB2312" w:hAnsi="FangSong_GB2312" w:eastAsia="FangSong_GB2312"/>
          <w:color w:val="auto"/>
          <w:sz w:val="32"/>
          <w:lang w:eastAsia="zh-CN"/>
        </w:rPr>
        <w:t>保障大建大美高品质呈现、保障金丽温高速东延等项目高效推进</w:t>
      </w:r>
      <w:r>
        <w:rPr>
          <w:rFonts w:hint="eastAsia" w:ascii="FangSong_GB2312" w:hAnsi="FangSong_GB2312" w:eastAsia="FangSong_GB2312"/>
          <w:color w:val="auto"/>
          <w:sz w:val="32"/>
        </w:rPr>
        <w:t>，</w:t>
      </w:r>
      <w:r>
        <w:rPr>
          <w:rFonts w:hint="eastAsia" w:ascii="FangSong_GB2312" w:hAnsi="FangSong_GB2312" w:eastAsia="FangSong_GB2312"/>
          <w:color w:val="auto"/>
          <w:sz w:val="32"/>
          <w:lang w:eastAsia="zh-CN"/>
        </w:rPr>
        <w:t>保障乡村振兴高站位实现，</w:t>
      </w:r>
      <w:r>
        <w:rPr>
          <w:rFonts w:hint="eastAsia" w:ascii="FangSong_GB2312" w:hAnsi="FangSong_GB2312" w:eastAsia="FangSong_GB2312"/>
          <w:color w:val="auto"/>
          <w:sz w:val="32"/>
        </w:rPr>
        <w:t>不断增强</w:t>
      </w:r>
      <w:r>
        <w:rPr>
          <w:rFonts w:hint="eastAsia" w:ascii="FangSong_GB2312" w:hAnsi="FangSong_GB2312" w:eastAsia="FangSong_GB2312"/>
          <w:color w:val="auto"/>
          <w:sz w:val="32"/>
          <w:lang w:eastAsia="zh-CN"/>
        </w:rPr>
        <w:t>我区</w:t>
      </w:r>
      <w:r>
        <w:rPr>
          <w:rFonts w:hint="eastAsia" w:ascii="FangSong_GB2312" w:hAnsi="FangSong_GB2312" w:eastAsia="FangSong_GB2312"/>
          <w:color w:val="auto"/>
          <w:sz w:val="32"/>
        </w:rPr>
        <w:t>竞争力。</w:t>
      </w:r>
      <w:r>
        <w:rPr>
          <w:rFonts w:hint="eastAsia" w:ascii="仿宋_GB2312" w:hAnsi="仿宋_GB2312" w:eastAsia="仿宋_GB2312" w:cs="仿宋_GB2312"/>
          <w:color w:val="auto"/>
          <w:kern w:val="2"/>
          <w:sz w:val="32"/>
          <w:szCs w:val="32"/>
          <w:highlight w:val="none"/>
          <w:lang w:val="en-US" w:eastAsia="zh-CN" w:bidi="ar-SA"/>
        </w:rPr>
        <w:t>构建集中财力办大事政策体系，</w:t>
      </w:r>
      <w:r>
        <w:rPr>
          <w:rFonts w:hint="eastAsia" w:ascii="仿宋_GB2312" w:hAnsi="仿宋_GB2312" w:eastAsia="仿宋_GB2312" w:cs="仿宋_GB2312"/>
          <w:color w:val="auto"/>
          <w:sz w:val="32"/>
          <w:szCs w:val="32"/>
          <w:highlight w:val="none"/>
          <w:lang w:val="en-US" w:eastAsia="zh-CN"/>
        </w:rPr>
        <w:t>抢抓窗口期机遇，全力争取上级补助资金及专项债券额度支持。</w:t>
      </w:r>
      <w:r>
        <w:rPr>
          <w:rFonts w:hint="eastAsia" w:ascii="仿宋_GB2312" w:hAnsi="仿宋_GB2312" w:eastAsia="仿宋_GB2312" w:cs="仿宋_GB2312"/>
          <w:color w:val="auto"/>
          <w:kern w:val="2"/>
          <w:sz w:val="32"/>
          <w:szCs w:val="32"/>
          <w:highlight w:val="none"/>
          <w:lang w:val="en-US" w:eastAsia="zh-CN" w:bidi="ar-SA"/>
        </w:rPr>
        <w:t>在年初预算一般性支出压减不低于10%，日常公用经费支出压减不低于5%，三公经费压减不低于5%的基础上，进一步压减政府开支，压减会议培训、宣传活动、课题等一般性支出，严格“三公”经费管理，节约的资金用于疫情防控、企业扶持等经费保障上。全区域开展生活垃圾分类工作，以区域系统化建设为中心，以分类投放、分类运输、分类宣传为重点推进方向，达到城区100%全覆盖，提升生活垃圾减量化、资源化、无害化水平。计划安排3.05亿元，开展全域环境综合整治工作，力争打造空间协调、规范有序、整洁优美的“美丽街区”。</w:t>
      </w:r>
    </w:p>
    <w:p>
      <w:pPr>
        <w:pStyle w:val="2"/>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kern w:val="2"/>
          <w:sz w:val="32"/>
          <w:szCs w:val="32"/>
          <w:highlight w:val="none"/>
          <w:lang w:val="en-US" w:eastAsia="zh-CN" w:bidi="ar-SA"/>
        </w:rPr>
        <w:t>（三）服务经济发展，增强财政发展后劲。</w:t>
      </w:r>
      <w:r>
        <w:rPr>
          <w:rFonts w:hint="eastAsia" w:ascii="仿宋_GB2312" w:hAnsi="仿宋_GB2312" w:eastAsia="仿宋_GB2312" w:cs="仿宋_GB2312"/>
          <w:color w:val="auto"/>
          <w:kern w:val="2"/>
          <w:sz w:val="32"/>
          <w:szCs w:val="32"/>
          <w:highlight w:val="none"/>
          <w:lang w:val="en-US" w:eastAsia="zh-CN" w:bidi="ar-SA"/>
        </w:rPr>
        <w:t>深入开展“三强两促”专项活动，深化“三服务”“万名干部进万企”活动，强化财税政策的逆周期调节作用，大力实施“减租减息减税减费”攻克时艰行动，</w:t>
      </w:r>
      <w:r>
        <w:rPr>
          <w:rFonts w:hint="eastAsia" w:hAnsi="仿宋_GB2312" w:cs="仿宋_GB2312"/>
          <w:color w:val="auto"/>
          <w:kern w:val="2"/>
          <w:sz w:val="32"/>
          <w:szCs w:val="32"/>
          <w:highlight w:val="none"/>
          <w:lang w:val="en-US" w:eastAsia="zh-CN" w:bidi="ar-SA"/>
        </w:rPr>
        <w:t>落实疫情防控期间“用工保障</w:t>
      </w:r>
      <w:r>
        <w:rPr>
          <w:rFonts w:hint="eastAsia" w:ascii="仿宋_GB2312" w:hAnsi="仿宋_GB2312" w:eastAsia="仿宋_GB2312" w:cs="仿宋_GB2312"/>
          <w:color w:val="auto"/>
          <w:kern w:val="2"/>
          <w:sz w:val="32"/>
          <w:szCs w:val="32"/>
          <w:highlight w:val="none"/>
          <w:lang w:val="en-US" w:eastAsia="zh-CN" w:bidi="ar-SA"/>
        </w:rPr>
        <w:t>15条”“金融惠企金6条”等政策刚性兑现</w:t>
      </w:r>
      <w:r>
        <w:rPr>
          <w:rFonts w:hint="eastAsia"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以优质服务助企解困、共渡难关。全面落实企业5+X扶持优惠政策，加大数字经济、生命健康、智能制造等战略性新兴产业项目招引，引导在外温商、龙商企业集团贸易有序回归</w:t>
      </w:r>
      <w:r>
        <w:rPr>
          <w:rFonts w:hint="eastAsia"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密切关注被招商企业落地纳税登记、生产经营和税收情况，扭转“招商不招税”的尴尬局面。贯彻落实惠企直通车政策，做好产业政策奖补资金兑现工</w:t>
      </w:r>
      <w:r>
        <w:rPr>
          <w:rFonts w:hint="eastAsia" w:ascii="仿宋_GB2312" w:hAnsi="仿宋_GB2312" w:eastAsia="仿宋_GB2312" w:cs="仿宋_GB2312"/>
          <w:color w:val="auto"/>
          <w:sz w:val="32"/>
          <w:szCs w:val="32"/>
          <w:highlight w:val="none"/>
          <w:lang w:val="en-US" w:eastAsia="zh-CN"/>
        </w:rPr>
        <w:t>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（四）加强财政监管，提高资金使用效益。</w:t>
      </w:r>
      <w:r>
        <w:rPr>
          <w:rFonts w:hint="eastAsia" w:ascii="仿宋_GB2312" w:hAnsi="仿宋_GB2312" w:eastAsia="仿宋_GB2312" w:cs="仿宋_GB2312"/>
          <w:color w:val="auto"/>
          <w:sz w:val="32"/>
          <w:szCs w:val="32"/>
          <w:highlight w:val="none"/>
          <w:lang w:val="en-US" w:eastAsia="zh-CN"/>
        </w:rPr>
        <w:t>在全面实施预算绩效管理的基础上，</w:t>
      </w:r>
      <w:r>
        <w:rPr>
          <w:rFonts w:hAnsi="宋体" w:eastAsia="仿宋_GB2312"/>
          <w:color w:val="auto"/>
          <w:kern w:val="32"/>
          <w:sz w:val="32"/>
          <w:szCs w:val="32"/>
          <w:highlight w:val="none"/>
        </w:rPr>
        <w:t>探索政府非税收入绩效管理</w:t>
      </w:r>
      <w:r>
        <w:rPr>
          <w:rFonts w:hint="eastAsia" w:hAnsi="宋体" w:eastAsia="仿宋_GB2312"/>
          <w:color w:val="auto"/>
          <w:kern w:val="32"/>
          <w:sz w:val="32"/>
          <w:szCs w:val="32"/>
          <w:highlight w:val="none"/>
          <w:lang w:eastAsia="zh-CN"/>
        </w:rPr>
        <w:t>，</w:t>
      </w:r>
      <w:r>
        <w:rPr>
          <w:rFonts w:hAnsi="宋体" w:eastAsia="仿宋_GB2312"/>
          <w:color w:val="auto"/>
          <w:kern w:val="32"/>
          <w:sz w:val="32"/>
          <w:szCs w:val="32"/>
          <w:highlight w:val="none"/>
        </w:rPr>
        <w:t>积极开展包括政府购买服务、政府产业基金、政府采购、政府和社会资本合作（</w:t>
      </w:r>
      <w:r>
        <w:rPr>
          <w:rFonts w:eastAsia="仿宋_GB2312"/>
          <w:color w:val="auto"/>
          <w:kern w:val="32"/>
          <w:sz w:val="32"/>
          <w:szCs w:val="32"/>
          <w:highlight w:val="none"/>
        </w:rPr>
        <w:t>PPP</w:t>
      </w:r>
      <w:r>
        <w:rPr>
          <w:rFonts w:hAnsi="宋体" w:eastAsia="仿宋_GB2312"/>
          <w:color w:val="auto"/>
          <w:kern w:val="32"/>
          <w:sz w:val="32"/>
          <w:szCs w:val="32"/>
          <w:highlight w:val="none"/>
        </w:rPr>
        <w:t>）、政府债务预算绩效管理</w:t>
      </w:r>
      <w:r>
        <w:rPr>
          <w:rFonts w:hint="eastAsia" w:hAnsi="宋体" w:eastAsia="仿宋_GB2312"/>
          <w:color w:val="auto"/>
          <w:kern w:val="3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发挥各方监管主体责任，形成监管合力，加强财政资金事前、事中和事后的全过程监督。加快深化完善1+8+X内控体系，持续推进内控制度和执行建设，不断规范财政业务流程，有效防范化解财政业务风险和廉政风险。拟出台预算单位支出进度考核办法，将财政资金的使用支出进度按月、按季度考核，推动支出进度常态化管理，强化预算刚性约束，提高预算执行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（五）深化体制改革，激发财政内在活力。</w:t>
      </w:r>
      <w:r>
        <w:rPr>
          <w:rFonts w:hint="eastAsia" w:ascii="仿宋_GB2312" w:hAnsi="仿宋_GB2312" w:eastAsia="仿宋_GB2312" w:cs="仿宋_GB2312"/>
          <w:color w:val="auto"/>
          <w:sz w:val="32"/>
          <w:szCs w:val="32"/>
          <w:highlight w:val="none"/>
          <w:lang w:val="en-US" w:eastAsia="zh-CN"/>
        </w:rPr>
        <w:t>探索以市场化方式承接政府投资项目，通过获取特许经营权、合理定价、房开代建等方式，制定落实项目资金平衡方案。聚焦聚力“三大攻坚战”、“富民强省十大行动计划”等重大决策部署，遵循“划清边界、厘清事权、做好蛋糕、集中财力办大事”的理财思路和“保基本、守底线、促均衡、提质量”的理财要求，实施积极财政政策，系统构建集中财力办大事财政政策体系。继续推进政府性投资项目预算管理，建立工程分类造价指标库，做深做细做实政府投资项目预算。将政府采购资金预算和采购指标预算整合，实行“无预算不采购”，切实提高政府采购预算约束力和执行力。加强非税收入管理，进一步深化非税收入收缴电子化改革，严格落实全国“一张网”收费目录清单机制，推行常态化公开，实行涉企收费目录清单动态管理，坚决遏制乱收费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rPr>
        <w:t>各位代表，20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年全区财政改革发展任务艰巨，我们将在区委坚</w:t>
      </w:r>
      <w:r>
        <w:rPr>
          <w:rFonts w:hint="eastAsia" w:ascii="仿宋_GB2312" w:hAnsi="仿宋_GB2312" w:eastAsia="仿宋_GB2312" w:cs="仿宋_GB2312"/>
          <w:color w:val="auto"/>
          <w:sz w:val="32"/>
          <w:szCs w:val="32"/>
          <w:highlight w:val="none"/>
          <w:lang w:val="en-US" w:eastAsia="zh-CN"/>
        </w:rPr>
        <w:t>强领导下，自觉接受人大指导监督，虚心听取政协意见建议，坚定信心，改革创新，攻坚克难，拼搏奋进，</w:t>
      </w:r>
      <w:r>
        <w:rPr>
          <w:rFonts w:hint="eastAsia" w:ascii="Times New Roman" w:hAnsi="Times New Roman" w:eastAsia="仿宋_GB2312" w:cs="Times New Roman"/>
          <w:color w:val="auto"/>
          <w:sz w:val="32"/>
          <w:szCs w:val="32"/>
        </w:rPr>
        <w:t>全面完成2020年各项目标任务，全力推进“五个中心”建设，为“十四五”规划发展打下坚实基础</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附件：1.2019年龙湾区一般公共预算收入执行情况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2.2019年龙湾区一般公共预算支出执行情况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3.2019年龙湾区本级一般公共预算支出执行情况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4.2019年龙湾区本级一般公共预算基本支出执行情况 </w:t>
      </w:r>
    </w:p>
    <w:p>
      <w:pPr>
        <w:keepNext w:val="0"/>
        <w:keepLines w:val="0"/>
        <w:pageBreakBefore w:val="0"/>
        <w:widowControl w:val="0"/>
        <w:kinsoku/>
        <w:wordWrap/>
        <w:overflowPunct/>
        <w:topLinePunct w:val="0"/>
        <w:autoSpaceDE/>
        <w:autoSpaceDN/>
        <w:bidi w:val="0"/>
        <w:adjustRightInd/>
        <w:snapToGrid w:val="0"/>
        <w:spacing w:line="560" w:lineRule="exact"/>
        <w:ind w:left="1280" w:hanging="1280" w:hangingChars="4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5.2019年龙湾区一般公共预算税收返还和转移支付分地区预算执行情况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6.2019年龙湾区政府性基金收入执行情况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7.2019年龙湾区政府性基金支出执行情况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8.2019年龙湾区政府性基金转移支付预算执行情况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9.2019年龙湾区本级国有资本经营预算收入执行情况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10.2019年龙湾区本级国有资本经营预算支出执行情况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11.2019年龙湾区本级社会保险基金预算执行情况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12.2019年龙湾区本级地方政府债务余额情况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13.2019年龙湾区“三公”经费执行情况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14.2020年龙湾区一般公共预算收入预算（草案）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15.2020年龙湾区一般公共预算支出预算（草案）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16.2020年龙湾区本级一般公共预算支出预算（草案）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17.2020年龙湾区本级一般公共预算（平衡）草案</w:t>
      </w:r>
    </w:p>
    <w:p>
      <w:pPr>
        <w:keepNext w:val="0"/>
        <w:keepLines w:val="0"/>
        <w:pageBreakBefore w:val="0"/>
        <w:widowControl w:val="0"/>
        <w:kinsoku/>
        <w:wordWrap/>
        <w:overflowPunct/>
        <w:topLinePunct w:val="0"/>
        <w:autoSpaceDE/>
        <w:autoSpaceDN/>
        <w:bidi w:val="0"/>
        <w:adjustRightInd/>
        <w:snapToGrid w:val="0"/>
        <w:spacing w:line="560" w:lineRule="exact"/>
        <w:ind w:right="-218" w:rightChars="-104"/>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18.2020年龙湾区本级一般公共预算基本支出预算（草案）</w:t>
      </w:r>
    </w:p>
    <w:p>
      <w:pPr>
        <w:keepNext w:val="0"/>
        <w:keepLines w:val="0"/>
        <w:pageBreakBefore w:val="0"/>
        <w:widowControl w:val="0"/>
        <w:kinsoku/>
        <w:wordWrap/>
        <w:overflowPunct/>
        <w:topLinePunct w:val="0"/>
        <w:autoSpaceDE/>
        <w:autoSpaceDN/>
        <w:bidi w:val="0"/>
        <w:adjustRightInd/>
        <w:snapToGrid w:val="0"/>
        <w:spacing w:line="560" w:lineRule="exact"/>
        <w:ind w:left="1280" w:hanging="1280" w:hangingChars="4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19.2020年龙湾区一般公共预算税收返还和转移支付分地区预算（草案）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20.2020年龙湾区政府性基金收入预算（草案）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21.2020年龙湾区政府性基金支出预算（草案）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22.2020年龙湾区政府性基金转移支付预算（草案）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23.2020年龙湾区政府性基金预算（平衡）草案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24.2020年龙湾区本级国有资本经营预算（草案）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25.2020年龙湾区本级社会保险基金预算（草案）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26.2020年龙湾区地方政府债务余额情况（草案）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color w:val="auto"/>
          <w:highlight w:val="none"/>
        </w:rPr>
      </w:pPr>
      <w:r>
        <w:rPr>
          <w:rFonts w:hint="eastAsia" w:ascii="仿宋_GB2312" w:hAnsi="仿宋_GB2312" w:eastAsia="仿宋_GB2312" w:cs="仿宋_GB2312"/>
          <w:color w:val="auto"/>
          <w:sz w:val="32"/>
          <w:szCs w:val="32"/>
          <w:highlight w:val="none"/>
          <w:lang w:val="en-US" w:eastAsia="zh-CN"/>
        </w:rPr>
        <w:t xml:space="preserve">      27.2020年龙湾区“三公”经费预算（草案）</w:t>
      </w: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1：</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2019年龙湾区一般公共预算收入执行情况</w:t>
      </w:r>
    </w:p>
    <w:p>
      <w:pPr>
        <w:keepNext w:val="0"/>
        <w:keepLines w:val="0"/>
        <w:pageBreakBefore w:val="0"/>
        <w:kinsoku/>
        <w:wordWrap/>
        <w:overflowPunct/>
        <w:topLinePunct w:val="0"/>
        <w:autoSpaceDE/>
        <w:autoSpaceDN/>
        <w:bidi w:val="0"/>
        <w:spacing w:line="560" w:lineRule="exact"/>
        <w:jc w:val="center"/>
        <w:textAlignment w:val="auto"/>
        <w:rPr>
          <w:rFonts w:hint="eastAsia" w:eastAsia="宋体"/>
          <w:color w:val="auto"/>
          <w:highlight w:val="none"/>
          <w:lang w:val="en-US" w:eastAsia="zh-CN"/>
        </w:rPr>
      </w:pPr>
      <w:r>
        <w:rPr>
          <w:rFonts w:hint="eastAsia"/>
          <w:color w:val="auto"/>
          <w:highlight w:val="none"/>
          <w:lang w:val="en-US" w:eastAsia="zh-CN"/>
        </w:rPr>
        <w:t xml:space="preserve">                                                                         </w:t>
      </w:r>
      <w:r>
        <w:rPr>
          <w:rFonts w:hint="eastAsia"/>
          <w:color w:val="auto"/>
          <w:sz w:val="20"/>
          <w:szCs w:val="20"/>
          <w:highlight w:val="none"/>
          <w:lang w:val="en-US" w:eastAsia="zh-CN"/>
        </w:rPr>
        <w:t xml:space="preserve"> 单位：万元</w:t>
      </w:r>
    </w:p>
    <w:tbl>
      <w:tblPr>
        <w:tblStyle w:val="6"/>
        <w:tblW w:w="9360" w:type="dxa"/>
        <w:tblInd w:w="-1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95"/>
        <w:gridCol w:w="1545"/>
        <w:gridCol w:w="1455"/>
        <w:gridCol w:w="147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7"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Style w:val="9"/>
                <w:rFonts w:hint="eastAsia" w:asciiTheme="minorEastAsia" w:hAnsiTheme="minorEastAsia" w:eastAsiaTheme="minorEastAsia" w:cstheme="minorEastAsia"/>
                <w:color w:val="auto"/>
                <w:sz w:val="20"/>
                <w:szCs w:val="20"/>
                <w:highlight w:val="none"/>
                <w:lang w:val="en-US" w:eastAsia="zh-CN" w:bidi="ar"/>
              </w:rPr>
              <w:t>项  目</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财政总收入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538112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540181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b/>
                <w:bCs/>
                <w:i w:val="0"/>
                <w:color w:val="auto"/>
                <w:kern w:val="0"/>
                <w:sz w:val="20"/>
                <w:szCs w:val="20"/>
                <w:highlight w:val="none"/>
                <w:u w:val="none"/>
                <w:lang w:val="en-US" w:eastAsia="zh-CN" w:bidi="ar"/>
              </w:rPr>
              <w:t>一般公共预算收入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319428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321631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b/>
                <w:bCs/>
                <w:i w:val="0"/>
                <w:color w:val="auto"/>
                <w:kern w:val="0"/>
                <w:sz w:val="20"/>
                <w:szCs w:val="20"/>
                <w:highlight w:val="none"/>
                <w:u w:val="none"/>
                <w:lang w:val="en-US" w:eastAsia="zh-CN" w:bidi="ar"/>
              </w:rPr>
              <w:t>一、税收收入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270525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270625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增值税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120203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120104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99.9%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企业所得税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55766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55736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99.9%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个人所得税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9765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9771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资源税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98.4%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城市维护建设税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19831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19941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房产税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15819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15827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印花税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5056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5063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城镇土地使用税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5188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5285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101.9%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土地增值税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32334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32335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车船税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2817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2818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耕地占用税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2919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2919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环境保护税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其他税收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b/>
                <w:bCs/>
                <w:i w:val="0"/>
                <w:color w:val="auto"/>
                <w:kern w:val="0"/>
                <w:sz w:val="20"/>
                <w:szCs w:val="20"/>
                <w:highlight w:val="none"/>
                <w:u w:val="none"/>
                <w:lang w:val="en-US" w:eastAsia="zh-CN" w:bidi="ar"/>
              </w:rPr>
              <w:t>二、非税收入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48903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51006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104.3%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2"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专项收入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14286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14331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行政事业性收费收入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5847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5778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98.8%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罚没收入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4926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4241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86.1%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国有资本经营收入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8579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8579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国有资源（资产）有偿使用收入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13893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16705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120.2%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政府住房基金收入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1372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1372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上划中央“六税”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218684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218550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99.9%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1.国内消费税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184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99.7%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2.国内增值税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82472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82410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99.9%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3.企业所得税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83649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83605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99.9%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4.个人所得税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14647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14657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100.1%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5.改征增值税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37731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37694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99.9%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6.营业税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r>
    </w:tbl>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2：</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val="en-US" w:eastAsia="zh-CN"/>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2019年龙湾区一般公共预算支出执行情况</w:t>
      </w:r>
    </w:p>
    <w:p>
      <w:pPr>
        <w:keepNext w:val="0"/>
        <w:keepLines w:val="0"/>
        <w:pageBreakBefore w:val="0"/>
        <w:kinsoku/>
        <w:wordWrap/>
        <w:overflowPunct/>
        <w:topLinePunct w:val="0"/>
        <w:autoSpaceDE/>
        <w:autoSpaceDN/>
        <w:bidi w:val="0"/>
        <w:spacing w:line="560" w:lineRule="exact"/>
        <w:textAlignment w:val="auto"/>
        <w:rPr>
          <w:rFonts w:hint="eastAsia" w:eastAsia="宋体"/>
          <w:color w:val="auto"/>
          <w:highlight w:val="none"/>
          <w:lang w:val="en-US" w:eastAsia="zh-CN"/>
        </w:rPr>
      </w:pPr>
      <w:r>
        <w:rPr>
          <w:rFonts w:hint="eastAsia"/>
          <w:color w:val="auto"/>
          <w:highlight w:val="none"/>
          <w:lang w:val="en-US" w:eastAsia="zh-CN"/>
        </w:rPr>
        <w:t xml:space="preserve">                                                                           </w:t>
      </w:r>
      <w:r>
        <w:rPr>
          <w:rFonts w:hint="eastAsia"/>
          <w:color w:val="auto"/>
          <w:sz w:val="20"/>
          <w:szCs w:val="20"/>
          <w:highlight w:val="none"/>
          <w:lang w:val="en-US" w:eastAsia="zh-CN"/>
        </w:rPr>
        <w:t>单位：万元</w:t>
      </w:r>
    </w:p>
    <w:tbl>
      <w:tblPr>
        <w:tblStyle w:val="6"/>
        <w:tblW w:w="10425" w:type="dxa"/>
        <w:tblInd w:w="-6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70"/>
        <w:gridCol w:w="1050"/>
        <w:gridCol w:w="930"/>
        <w:gridCol w:w="1335"/>
        <w:gridCol w:w="1110"/>
        <w:gridCol w:w="1485"/>
        <w:gridCol w:w="84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7"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一般公共预算支出合计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414445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399982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96.5%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23.9%</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364838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13.0%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201一般公共服务支出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67269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67216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99.9%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38.4%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53923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11.1%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剔除区税务局支出下放增加支出以及加大对街道人员及运转经费的保障力度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203国防支出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b w:val="0"/>
                <w:bCs w:val="0"/>
                <w:i w:val="0"/>
                <w:color w:val="auto"/>
                <w:sz w:val="20"/>
                <w:szCs w:val="20"/>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b w:val="0"/>
                <w:bCs w:val="0"/>
                <w:i w:val="0"/>
                <w:color w:val="auto"/>
                <w:sz w:val="20"/>
                <w:szCs w:val="20"/>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204公共安全支出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42797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42797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24.5%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39035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13.5%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205教育支出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90016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90013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37.6%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82856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26.7%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高中教育已上划市级，剔除高中教育基础设施建设经费以及增发考绩奖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206科学技术支出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24897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25177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101.1%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31.4%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25177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31.4%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207文化旅游体育与传媒支出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7369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7369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21.9%</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7369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21.9%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旅游局科目调整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208社会保障和就业支出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26563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26568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19.0%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26568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19.0%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210卫生健康支出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39291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39296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28.0%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39296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28.0%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211节能环保支出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11608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11608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123.1%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3865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-25.7%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科目调整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212城乡社区支出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53356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38355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71.9%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18.2%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38355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18.2%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213农林水支出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10967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10978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-15.5%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10978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-15.5%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214交通运输支出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4959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4959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5.6%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4959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5.6%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215资源勘探信息等支出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4836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216商业服务业等支出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旅游局科目调整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217金融支出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1980.0%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1980.0%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上级补助增加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219援助其他地区支出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-12.9%</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220自然资源海洋气象等支出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4081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4081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703.3%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892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剔除市级统筹占补平衡指标费3189万元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221住房保障支出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13687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13686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13686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224灾害防治及应急管理支出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3629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3629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227预备费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Theme="minorEastAsia" w:hAnsiTheme="minorEastAsia" w:eastAsiaTheme="minorEastAsia" w:cstheme="minorEastAsia"/>
                <w:i w:val="0"/>
                <w:color w:val="auto"/>
                <w:sz w:val="20"/>
                <w:szCs w:val="20"/>
                <w:highlight w:val="none"/>
                <w:u w:val="none"/>
                <w:lang w:eastAsia="zh-CN"/>
              </w:rPr>
            </w:pPr>
            <w:r>
              <w:rPr>
                <w:rFonts w:hint="eastAsia" w:asciiTheme="minorEastAsia" w:hAnsiTheme="minorEastAsia" w:eastAsiaTheme="minorEastAsia" w:cstheme="minorEastAsia"/>
                <w:i w:val="0"/>
                <w:color w:val="auto"/>
                <w:sz w:val="20"/>
                <w:szCs w:val="20"/>
                <w:highlight w:val="none"/>
                <w:u w:val="none"/>
                <w:lang w:eastAsia="zh-CN"/>
              </w:rPr>
              <w:t>预备费调整到其他科目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229其他支出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232债务付息支出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5233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5233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5233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bl>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b/>
          <w:bCs/>
          <w:color w:val="auto"/>
          <w:highlight w:val="none"/>
        </w:rPr>
        <w:sectPr>
          <w:footerReference r:id="rId3" w:type="default"/>
          <w:pgSz w:w="11906" w:h="16838"/>
          <w:pgMar w:top="1701" w:right="1417" w:bottom="1701" w:left="1417" w:header="851" w:footer="1417"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附件3：</w:t>
      </w: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color w:val="auto"/>
          <w:highlight w:val="none"/>
          <w:lang w:val="en-US" w:eastAsia="zh-CN"/>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2019年龙湾区本级一般公共预算支出执行情况</w:t>
      </w:r>
      <w:r>
        <w:rPr>
          <w:rFonts w:hint="eastAsia"/>
          <w:color w:val="auto"/>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eastAsia="宋体"/>
          <w:color w:val="auto"/>
          <w:highlight w:val="none"/>
          <w:lang w:val="en-US" w:eastAsia="zh-CN"/>
        </w:rPr>
      </w:pPr>
      <w:r>
        <w:rPr>
          <w:rFonts w:hint="eastAsia"/>
          <w:color w:val="auto"/>
          <w:highlight w:val="none"/>
          <w:lang w:val="en-US" w:eastAsia="zh-CN"/>
        </w:rPr>
        <w:t xml:space="preserve">   </w:t>
      </w:r>
      <w:r>
        <w:rPr>
          <w:rFonts w:hint="eastAsia"/>
          <w:color w:val="auto"/>
          <w:sz w:val="20"/>
          <w:szCs w:val="20"/>
          <w:highlight w:val="none"/>
          <w:lang w:val="en-US" w:eastAsia="zh-CN"/>
        </w:rPr>
        <w:t xml:space="preserve">  单位：万元</w:t>
      </w:r>
      <w:r>
        <w:rPr>
          <w:rFonts w:hint="eastAsia"/>
          <w:color w:val="auto"/>
          <w:highlight w:val="none"/>
          <w:lang w:val="en-US" w:eastAsia="zh-CN"/>
        </w:rPr>
        <w:t xml:space="preserve">    </w:t>
      </w:r>
    </w:p>
    <w:tbl>
      <w:tblPr>
        <w:tblStyle w:val="6"/>
        <w:tblpPr w:leftFromText="180" w:rightFromText="180" w:vertAnchor="text" w:horzAnchor="page" w:tblpXSpec="center" w:tblpY="861"/>
        <w:tblOverlap w:val="never"/>
        <w:tblW w:w="106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46"/>
        <w:gridCol w:w="1050"/>
        <w:gridCol w:w="878"/>
        <w:gridCol w:w="1272"/>
        <w:gridCol w:w="1050"/>
        <w:gridCol w:w="1616"/>
        <w:gridCol w:w="950"/>
        <w:gridCol w:w="1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2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仿宋_GB2312" w:hAnsi="宋体" w:eastAsia="仿宋_GB2312" w:cs="仿宋_GB2312"/>
                <w:b/>
                <w:i w:val="0"/>
                <w:color w:val="auto"/>
                <w:sz w:val="20"/>
                <w:szCs w:val="20"/>
                <w:highlight w:val="none"/>
                <w:u w:val="none"/>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一般公共预算支出合计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414445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399982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364838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一般公共服务支出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67269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67216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53923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区税务局支出下放增加支出以及加大对街道人员及运转经费的保障力度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人大事务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1613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1613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1613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人大会议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人大监督</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人大代表履职能力提升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代表工作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其他人大事务支出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政协事务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w:t>
            </w:r>
            <w:r>
              <w:rPr>
                <w:rFonts w:hint="eastAsia" w:ascii="宋体" w:hAnsi="宋体"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政协会议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委员视察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参政议政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政府办公厅(室)及相关机构事务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27350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27297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18612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6533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6533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6533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3147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3147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3147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4148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4148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4148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专项业务活动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2"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信访事务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12068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12068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3383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其他政府办公厅(室)及</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相关机构事务支出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836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836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发展与改革事务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战略规划与实施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物价管理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其他发展与改革事务支</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统计信息事务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671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671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671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专项普查活动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财政事务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1145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1145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1145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信息化建设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税收事务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4608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4608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223.4%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2490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2490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审计事务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782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782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782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审计业务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审计管理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信息化建设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人力资源事务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217.8%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217.8%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引进人才费用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纪检监察事务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3151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3151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3151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2911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2911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其他纪检监察事务支出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商贸事务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2637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2637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2637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对外贸易管理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国内贸易管理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其他商贸事务支出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民族事务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民族工作专项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其他民族事务支出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港澳台事务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0" w:firstLineChars="2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w:t>
            </w:r>
            <w:r>
              <w:rPr>
                <w:rFonts w:hint="eastAsia" w:ascii="宋体" w:hAnsi="宋体"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台湾事务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其他港澳台事务支出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群众团体事务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其他群众团体事务支出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 xml:space="preserve">   党委办公厅(室)及相关机</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构事务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29.7%</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2288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2288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2288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578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578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578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专项业务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其他党委办公厅(室)及</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相关机构事务支出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组织事务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3190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3190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138.8%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3190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138.8%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其他组织事务支出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1892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1892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1892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宣传事务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其他宣传事务支出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统战事务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1224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1224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680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680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680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宗教事务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其他统战事务支出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市场监督管理事务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7394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7394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7394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4384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4384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4384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市场监管执法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消费者权益保护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信息化建设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其他市场监督管理事务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其他一般公共服务支出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其他一般公共服务支出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国防支出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 xml:space="preserve"> 国防动员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边海防</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其他国防动员支出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公共安全支出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42797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42797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39035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武装警察部队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-91.8%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-91.8%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武装警察部队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其他武装警察部队支出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公安</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29037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29037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51.6%</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25275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15632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15632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13808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2683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2683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2683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信息化建设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4461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4461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2523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其他公安支出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5633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5633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5633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检察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3119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3119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3119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其他检察支出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法院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6304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6304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6304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4134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4134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4134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其他法院支出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司法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1762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1762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1762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基层司法业务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普法宣传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法律援助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社区矫正</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其他司法支出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其他公共安全支出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1406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1406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1406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其他公共安全支出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1406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1406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1406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8"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教育支出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90016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90013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37.6%</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82856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高中教育已上划市级，剔除高中教育基础设施建设经费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教育管理事务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4529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4526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4526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其他教育管理事务支出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1949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1946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1946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普通教育</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75499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75499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68342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学前教育</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8702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8702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8702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小学教育</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36654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36654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32648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初中教育</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19811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19811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19811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高中教育</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5519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5519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2368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其他普通教育支出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职业教育</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3553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3553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3553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职业高中教育</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3548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3548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3548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其他职业教育支出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教育费附加安排的支出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342.4%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342.4%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其他教育费附加安排的支出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其他教育支出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其他教育支出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科学技术支出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24897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25177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25177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科学技术管理事务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3139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3139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其他科学技术管理事务</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技术研究与开发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19312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19592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19592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应用技术研究与开发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其他技术研究与开发支出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18915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19195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19195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社会科学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社会科学研究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科学技术普及</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机构运行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科普活动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其他科学技术普及支出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其他科学技术支出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科技奖励</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1215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1215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1215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其他科学技术支出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文化旅游体育与传媒支出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7369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7369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7369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旅游局科目调整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文化和旅游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4515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4515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4515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图书馆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798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798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798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群众文化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文化创作与保护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文化和旅游市场管理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旅游行业业务管理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其他文化和旅游支出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2391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2391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2391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文物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10.6%</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10.6%</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文物保护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博物馆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体育</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955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955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955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运动项目管理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体育竞赛</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体育训练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体育场馆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群众体育</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体育交流与合作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其他体育支出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新闻出版电影</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其他新闻出版电影支出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广播电视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其他文化体育与传媒支出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1371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1371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1371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其他文化体育与传媒支出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1371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1371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1371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社会保障和就业支出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26563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26568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26568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人力资源和社会保障管理事务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3750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3750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3210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就业管理事务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社会保险经办机构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4"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其他人力资源和社会保</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障管理事务支出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民政管理事务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3485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3485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3485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1489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1489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1489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民间组织管理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行政区划和地名管理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基层政权和社区建设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其他民政管理事务支出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行政事业单位离退休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8588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8588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8588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机关事业单位基本养</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老保险缴费支出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5925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5925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机关事业单位职业年金</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缴费支出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2658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2658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2658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其他行政事业单位离退</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休支出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就业补助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其他就业补助支出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抚恤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1792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1792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191.4%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1792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191.4%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死亡抚恤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在乡复员、退伍军人生</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活补助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义务兵优待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其他优抚支出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1157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1157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1157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退役安置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退役士兵安置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退役士兵管理教育</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社会福利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1224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1224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儿童福利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老年福利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殡葬</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其他社会福利支出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残疾人事业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2830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2830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残疾人康复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残疾人就业和扶贫</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残疾人生活和护理补贴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1060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1060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1060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其他残疾人事业支出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红十字事业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222.0%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222.0%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最低生活保障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农村最低生活保障金支出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临时救助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134.9%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134.9%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临时救助支出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特困人员救助供养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农村特困人员救助供养支出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其他生活救助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其他农村生活救助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退役军人管理事务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拥军优属</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 xml:space="preserve">  其他社会保障和就业支出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1529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1534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1534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其他社会保障和就业支出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1529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1534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1534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卫生健康支出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39291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39296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39296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卫生健康管理事务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4651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4651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157.7%</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4651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157.7%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3920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3920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其他卫生健康管理事务支出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公立医院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5406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5406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5406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综合医院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5140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5140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5140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其他公立医院支出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基层医疗卫生机构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城市社区卫生机构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4156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4156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4156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其他基层医疗卫生机构支出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1235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1235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1235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公共卫生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6376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6376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6376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疾病预防控制机构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卫生监督机构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1097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1097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1097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妇幼保健机构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基本公共卫生服务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1711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1711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重大公共卫生专项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1043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1043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1043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突发公共卫生事件应急</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处理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中医药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中医(民族医)药专项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计划生育事务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1861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1861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1879.8%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1861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1879.8%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计划生育机构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计划生育服务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1810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1810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2"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其他计划生育事务支出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行政事业单位医疗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3479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3479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3479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行政单位医疗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3065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3065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3065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事业单位医疗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1"/>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财政对基本医疗保险基</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金的补助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9229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9229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9229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w:t>
            </w:r>
            <w:r>
              <w:rPr>
                <w:rFonts w:hint="eastAsia" w:ascii="宋体" w:hAnsi="宋体"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财政对城乡居民基本医疗保险基金的补助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9229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9229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9229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医疗救助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城乡医疗救助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优抚对象医疗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优抚对象医疗补助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医疗保障管理事务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老龄卫生健康事务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老龄卫生健康事务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其他卫生健康支出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其他卫生健康支出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节能环保支出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11608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11608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123.1%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3865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科目调整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环境保护管理事务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2800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2800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2730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2730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环境监测与监察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其他环境监测与监察支出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污染防治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7831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7831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475.4%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大气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水体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7743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7743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固体废弃物与化学品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自然生态保护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生态保护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能源管理事务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其他能源管理事务支出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其他节能环保支出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-48.7%</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其他节能环保支出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城乡社区支出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53356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38355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38355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城乡社区管理事务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9692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9691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9691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7617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7617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7617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城管执法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916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916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其他城乡社区管理事务支出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城乡社区规划与管理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城乡社区规划与管理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城乡社区公共设施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19870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4870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4870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其他城乡社区公共设施支出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19870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4870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4870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城乡社区环境卫生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14860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14860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14860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城乡社区环境卫生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14860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14860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14860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其他城乡社区支出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8155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8155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219.7%</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8155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219.7%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其他城乡社区支出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8155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8155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8155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农林水支出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10967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10978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10978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农业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8184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8195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2524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2524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1591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1591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1591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科技转化与推广服务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病虫害控制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1133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1133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1133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农产品质量安全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执法监管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农业行业业务管理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稳定农民收入补贴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农业生产支持补贴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农业组织化与产业化经营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成品油价格改革对渔业</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的补贴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其他农业支出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2257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2257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林业和草原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森林生态效益补偿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产业化管理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防灾减灾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其他林业和草原支出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水利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1757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1757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1757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1020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1020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水利行业业务管理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水利工程建设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水利工程运行与维护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水利前期工作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水资源节约管理与保护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水质监测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水文测报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防汛</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大中型水库移民后期扶</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持专项支出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水利建设移民支出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其他水利支出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扶贫</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134.8%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134.8%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其他扶贫支出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农业综合开发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其他农业综合开发支出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7"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农村综合改革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对村级一事一议的补助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对村集体经济组织的补助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其他农村综合改革支出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普惠金融发展支出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农业保险保费补贴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其他农林水支出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-94.2%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-94.2%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其他农林水支出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交通运输支出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4959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4959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4959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公路水路运输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4920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4820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公路养护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其他公路水路运输支出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3621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3521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1"/>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成品油价格改革对交通</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运输的补贴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对城市公交的补贴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车辆购置税支出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车辆购置税用于公路</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等基础设施建设支出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2"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0" w:firstLineChars="2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车辆购置税用于农村公路建设支出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资源勘探信息等支出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4836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工业和信息产业监管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3562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3542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工业和信息产业支持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2343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2343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2343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其他工业和信息产业监</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1"/>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支持中小企业发展和管</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理支出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210.7%</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中小企业发展专项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商业服务业等支出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旅游局科目调整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商业流通事务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其他商业流通事务支出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涉外发展服务支出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1129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1444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1444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其他涉外发展服务支出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1129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1444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1444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 xml:space="preserve">    其他商业服务业等支出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其他商业服务业等支出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金融支出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1980.0%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1980.0%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上级补助增加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金融部门行政支出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金融发展支出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1680.0%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1680.0%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其他金融发展支出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援助其他地区支出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其他支出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自然资源海洋气象等支出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4081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4081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703.3%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892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75.6%</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增加市级统筹占补平衡指标费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自然资源事务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3817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3817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798.1%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土地资源利用与保护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3425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3425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2"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其他自然资源事务支出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海洋管理事务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218.1%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218.1%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其他海洋管理事务支出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住房保障支出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13687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13686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13686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保障性安居工程支出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12692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12691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12691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棚户区改造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12503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12503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12503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保障性住房租金补贴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其他保障性安居工程支出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住房改革支出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974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974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974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住房公积金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购房补贴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城乡社区住宅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其他城乡社区住宅支出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 xml:space="preserve">  灾害防治及应急管理支出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3630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3629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3629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应急管理事务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999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99.9%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999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777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777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777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安全监管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安全生产基础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其他应急管理支出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消防事务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2505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2505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2505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其他消防事务支出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2505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2505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2505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自然灾害防治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地质灾害防治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自然灾害救灾及恢复重建支出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w:t>
            </w:r>
            <w:r>
              <w:rPr>
                <w:rFonts w:hint="eastAsia" w:ascii="宋体" w:hAnsi="宋体"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中央自然灾害生活补助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地方自然灾害生活补助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其他支出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-28.3%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-28.3%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其他支出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-28.3%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-28.3%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其他支出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购房补贴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城乡社区住宅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其他城乡社区住宅支出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 xml:space="preserve">  灾害防治及应急管理支出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3630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3629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3629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2" w:hRule="atLeast"/>
          <w:jc w:val="center"/>
        </w:trPr>
        <w:tc>
          <w:tcPr>
            <w:tcW w:w="254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auto"/>
                <w:kern w:val="2"/>
                <w:sz w:val="20"/>
                <w:szCs w:val="20"/>
                <w:highlight w:val="none"/>
                <w:u w:val="none"/>
                <w:lang w:val="en-US" w:eastAsia="zh-CN" w:bidi="ar-SA"/>
              </w:rPr>
            </w:pPr>
            <w:r>
              <w:rPr>
                <w:rFonts w:hint="eastAsia" w:ascii="仿宋_GB2312" w:hAnsi="宋体" w:eastAsia="仿宋_GB2312" w:cs="仿宋_GB2312"/>
                <w:b/>
                <w:i w:val="0"/>
                <w:color w:val="auto"/>
                <w:kern w:val="0"/>
                <w:sz w:val="20"/>
                <w:szCs w:val="20"/>
                <w:highlight w:val="none"/>
                <w:u w:val="none"/>
                <w:lang w:val="en-US" w:eastAsia="zh-CN" w:bidi="ar"/>
              </w:rPr>
              <w:t>科目名称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同比增长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应急管理事务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999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99.9%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999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777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777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777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安全监管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安全生产基础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事业运行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87</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其他应急管理支出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消防事务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2505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2505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2505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其他消防事务支出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2505</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2505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2505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自然灾害防治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地质灾害防治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cs="宋体"/>
                <w:b/>
                <w:i w:val="0"/>
                <w:color w:val="auto"/>
                <w:kern w:val="0"/>
                <w:sz w:val="20"/>
                <w:szCs w:val="20"/>
                <w:highlight w:val="none"/>
                <w:u w:val="none"/>
                <w:lang w:val="en-US" w:eastAsia="zh-CN" w:bidi="ar"/>
              </w:rPr>
              <w:t xml:space="preserve">  </w:t>
            </w:r>
            <w:r>
              <w:rPr>
                <w:rFonts w:hint="eastAsia" w:ascii="宋体" w:hAnsi="宋体" w:eastAsia="宋体" w:cs="宋体"/>
                <w:b/>
                <w:i w:val="0"/>
                <w:color w:val="auto"/>
                <w:kern w:val="0"/>
                <w:sz w:val="20"/>
                <w:szCs w:val="20"/>
                <w:highlight w:val="none"/>
                <w:u w:val="none"/>
                <w:lang w:val="en-US" w:eastAsia="zh-CN" w:bidi="ar"/>
              </w:rPr>
              <w:t>自然灾害救灾及恢复重建</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中央自然灾害生活补助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地方自然灾害生活补助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其他支出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-28.3%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-28.3%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402" w:firstLineChars="2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其他支出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-28.3%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-28.3%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600" w:firstLineChars="3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其他支出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债务付息支出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5233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5233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5233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cs="宋体"/>
                <w:b/>
                <w:i w:val="0"/>
                <w:color w:val="auto"/>
                <w:kern w:val="0"/>
                <w:sz w:val="20"/>
                <w:szCs w:val="20"/>
                <w:highlight w:val="none"/>
                <w:u w:val="none"/>
                <w:lang w:val="en-US" w:eastAsia="zh-CN" w:bidi="ar"/>
              </w:rPr>
              <w:t xml:space="preserve">  </w:t>
            </w:r>
            <w:r>
              <w:rPr>
                <w:rFonts w:hint="eastAsia" w:ascii="宋体" w:hAnsi="宋体" w:eastAsia="宋体" w:cs="宋体"/>
                <w:b/>
                <w:i w:val="0"/>
                <w:color w:val="auto"/>
                <w:kern w:val="0"/>
                <w:sz w:val="20"/>
                <w:szCs w:val="20"/>
                <w:highlight w:val="none"/>
                <w:u w:val="none"/>
                <w:lang w:val="en-US" w:eastAsia="zh-CN" w:bidi="ar"/>
              </w:rPr>
              <w:t>地方政府一般债务付息支</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5233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5233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5233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46" w:type="dxa"/>
            <w:tcBorders>
              <w:top w:val="single" w:color="000000" w:sz="4" w:space="0"/>
              <w:left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40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地方政府一般债券付息</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5233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5233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5233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bl>
    <w:p>
      <w:pPr>
        <w:keepNext w:val="0"/>
        <w:keepLines w:val="0"/>
        <w:pageBreakBefore w:val="0"/>
        <w:kinsoku/>
        <w:wordWrap/>
        <w:overflowPunct/>
        <w:topLinePunct w:val="0"/>
        <w:autoSpaceDE/>
        <w:autoSpaceDN/>
        <w:bidi w:val="0"/>
        <w:adjustRightInd/>
        <w:snapToGrid/>
        <w:spacing w:line="560" w:lineRule="exact"/>
        <w:jc w:val="center"/>
        <w:textAlignment w:val="auto"/>
        <w:rPr>
          <w:color w:val="auto"/>
          <w:highlight w:val="none"/>
        </w:rPr>
        <w:sectPr>
          <w:pgSz w:w="11906" w:h="16838"/>
          <w:pgMar w:top="1701" w:right="1417" w:bottom="1701" w:left="141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tabs>
          <w:tab w:val="center" w:pos="4213"/>
          <w:tab w:val="right" w:pos="8306"/>
        </w:tabs>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p>
    <w:p>
      <w:pPr>
        <w:keepNext w:val="0"/>
        <w:keepLines w:val="0"/>
        <w:pageBreakBefore w:val="0"/>
        <w:tabs>
          <w:tab w:val="center" w:pos="4213"/>
          <w:tab w:val="right" w:pos="8306"/>
        </w:tabs>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2019年龙湾区本级一般公共预算基本支出执行情况</w:t>
      </w:r>
    </w:p>
    <w:p>
      <w:pPr>
        <w:keepNext w:val="0"/>
        <w:keepLines w:val="0"/>
        <w:pageBreakBefore w:val="0"/>
        <w:tabs>
          <w:tab w:val="center" w:pos="4213"/>
          <w:tab w:val="right" w:pos="8306"/>
        </w:tabs>
        <w:kinsoku/>
        <w:wordWrap/>
        <w:overflowPunct/>
        <w:topLinePunct w:val="0"/>
        <w:autoSpaceDE/>
        <w:autoSpaceDN/>
        <w:bidi w:val="0"/>
        <w:spacing w:line="560" w:lineRule="exact"/>
        <w:jc w:val="right"/>
        <w:textAlignment w:val="auto"/>
        <w:rPr>
          <w:rFonts w:hint="eastAsia"/>
          <w:color w:val="auto"/>
          <w:sz w:val="20"/>
          <w:szCs w:val="20"/>
          <w:highlight w:val="none"/>
          <w:lang w:val="en-US" w:eastAsia="zh-CN"/>
        </w:rPr>
      </w:pPr>
      <w:r>
        <w:rPr>
          <w:rFonts w:hint="eastAsia"/>
          <w:color w:val="auto"/>
          <w:highlight w:val="none"/>
          <w:lang w:val="en-US" w:eastAsia="zh-CN"/>
        </w:rPr>
        <w:t xml:space="preserve">    </w:t>
      </w:r>
      <w:r>
        <w:rPr>
          <w:rFonts w:hint="eastAsia"/>
          <w:color w:val="auto"/>
          <w:sz w:val="20"/>
          <w:szCs w:val="20"/>
          <w:highlight w:val="none"/>
          <w:lang w:val="en-US" w:eastAsia="zh-CN"/>
        </w:rPr>
        <w:t>单位：万元</w:t>
      </w:r>
    </w:p>
    <w:tbl>
      <w:tblPr>
        <w:tblStyle w:val="6"/>
        <w:tblW w:w="9390"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90"/>
        <w:gridCol w:w="1320"/>
        <w:gridCol w:w="1290"/>
        <w:gridCol w:w="1200"/>
        <w:gridCol w:w="1320"/>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2"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完成预算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一、机关工资福利支出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88585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88585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区税务局支出下放以及公积金标准提高等增加支出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工资奖金津补贴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51197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51197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社会保障缴费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住房公积金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6095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6095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其他工资福利支出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19495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19495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二、机关商品和服务支出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6099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6099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-15.9%</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压减一般性支出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办公经费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3792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3792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培训费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专用材料购置费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委托业务费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1210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1210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公务接待费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因公出国（境）费用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公务用车运行维护费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三、机关资本性支出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设备购置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大型修缮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其他资本性支出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四、对事业单位经常性补助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119288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119288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19.7%</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提高教育系统教师待遇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工资福利支出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111708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111708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商品服务支出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7580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五、对事业单位资本性补助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-9.2%</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资本性支出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六、对企业补助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其他对企业补助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七、对个人和家庭的补助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1431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1431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社会福利和救助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完成预算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离退休费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其他对个人和家庭的补助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支出合计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215912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215912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20"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注：因龙湾区下属6个街道，无乡镇，所有支出均列为本级支出</w:t>
            </w:r>
          </w:p>
        </w:tc>
        <w:tc>
          <w:tcPr>
            <w:tcW w:w="1770" w:type="dxa"/>
            <w:shd w:val="clear" w:color="auto" w:fill="auto"/>
            <w:vAlign w:val="center"/>
          </w:tcPr>
          <w:p>
            <w:pPr>
              <w:jc w:val="center"/>
              <w:rPr>
                <w:rFonts w:hint="eastAsia" w:ascii="宋体" w:hAnsi="宋体" w:eastAsia="宋体" w:cs="宋体"/>
                <w:i w:val="0"/>
                <w:color w:val="auto"/>
                <w:sz w:val="22"/>
                <w:szCs w:val="22"/>
                <w:highlight w:val="none"/>
                <w:u w:val="none"/>
              </w:rPr>
            </w:pPr>
          </w:p>
        </w:tc>
      </w:tr>
    </w:tbl>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r>
        <w:rPr>
          <w:color w:val="auto"/>
          <w:highlight w:val="none"/>
        </w:rPr>
        <w:br w:type="page"/>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5：</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2019年龙湾区一般公共预算税收返还和转移支付分地区预算执行情况</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创艺简标宋" w:hAnsi="创艺简标宋" w:eastAsia="创艺简标宋" w:cs="创艺简标宋"/>
          <w:color w:val="auto"/>
          <w:sz w:val="20"/>
          <w:szCs w:val="20"/>
          <w:highlight w:val="none"/>
          <w:lang w:val="en-US" w:eastAsia="zh-CN"/>
        </w:rPr>
      </w:pPr>
      <w:r>
        <w:rPr>
          <w:rFonts w:hint="eastAsia" w:ascii="创艺简标宋" w:hAnsi="创艺简标宋" w:eastAsia="创艺简标宋" w:cs="创艺简标宋"/>
          <w:color w:val="auto"/>
          <w:sz w:val="44"/>
          <w:szCs w:val="44"/>
          <w:highlight w:val="none"/>
          <w:lang w:val="en-US" w:eastAsia="zh-CN"/>
        </w:rPr>
        <w:t xml:space="preserve">                      </w:t>
      </w:r>
      <w:r>
        <w:rPr>
          <w:rFonts w:hint="eastAsia" w:asciiTheme="minorEastAsia" w:hAnsiTheme="minorEastAsia" w:eastAsiaTheme="minorEastAsia" w:cstheme="minorEastAsia"/>
          <w:color w:val="auto"/>
          <w:sz w:val="20"/>
          <w:szCs w:val="20"/>
          <w:highlight w:val="none"/>
          <w:lang w:val="en-US" w:eastAsia="zh-CN"/>
        </w:rPr>
        <w:t>单位：万元</w:t>
      </w:r>
    </w:p>
    <w:tbl>
      <w:tblPr>
        <w:tblStyle w:val="6"/>
        <w:tblW w:w="8342" w:type="dxa"/>
        <w:tblInd w:w="0" w:type="dxa"/>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2460"/>
        <w:gridCol w:w="2835"/>
        <w:gridCol w:w="3047"/>
      </w:tblGrid>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286" w:hRule="atLeast"/>
        </w:trPr>
        <w:tc>
          <w:tcPr>
            <w:tcW w:w="2460" w:type="dxa"/>
            <w:tcBorders>
              <w:top w:val="single" w:color="auto" w:sz="4" w:space="0"/>
              <w:lef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highlight w:val="none"/>
                <w:u w:val="none"/>
              </w:rPr>
            </w:pPr>
            <w:r>
              <w:rPr>
                <w:rFonts w:hint="eastAsia" w:ascii="宋体" w:hAnsi="宋体" w:eastAsia="宋体" w:cs="宋体"/>
                <w:b/>
                <w:bCs/>
                <w:i w:val="0"/>
                <w:color w:val="auto"/>
                <w:kern w:val="0"/>
                <w:sz w:val="20"/>
                <w:szCs w:val="20"/>
                <w:highlight w:val="none"/>
                <w:u w:val="none"/>
                <w:lang w:val="en-US" w:eastAsia="zh-CN" w:bidi="ar"/>
              </w:rPr>
              <w:t>项      目</w:t>
            </w:r>
          </w:p>
        </w:tc>
        <w:tc>
          <w:tcPr>
            <w:tcW w:w="2835"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highlight w:val="none"/>
                <w:u w:val="none"/>
              </w:rPr>
            </w:pPr>
            <w:r>
              <w:rPr>
                <w:rFonts w:hint="eastAsia" w:ascii="宋体" w:hAnsi="宋体" w:eastAsia="宋体" w:cs="宋体"/>
                <w:b/>
                <w:bCs/>
                <w:i w:val="0"/>
                <w:color w:val="auto"/>
                <w:kern w:val="0"/>
                <w:sz w:val="20"/>
                <w:szCs w:val="20"/>
                <w:highlight w:val="none"/>
                <w:u w:val="none"/>
                <w:lang w:val="en-US" w:eastAsia="zh-CN" w:bidi="ar"/>
              </w:rPr>
              <w:t>预算数</w:t>
            </w:r>
          </w:p>
        </w:tc>
        <w:tc>
          <w:tcPr>
            <w:tcW w:w="3047" w:type="dxa"/>
            <w:tcBorders>
              <w:top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highlight w:val="none"/>
                <w:u w:val="none"/>
              </w:rPr>
            </w:pPr>
            <w:r>
              <w:rPr>
                <w:rFonts w:hint="eastAsia" w:ascii="宋体" w:hAnsi="宋体" w:eastAsia="宋体" w:cs="宋体"/>
                <w:b/>
                <w:bCs/>
                <w:i w:val="0"/>
                <w:color w:val="auto"/>
                <w:kern w:val="0"/>
                <w:sz w:val="20"/>
                <w:szCs w:val="20"/>
                <w:highlight w:val="none"/>
                <w:u w:val="none"/>
                <w:lang w:val="en-US" w:eastAsia="zh-CN" w:bidi="ar"/>
              </w:rPr>
              <w:t>执行数</w:t>
            </w: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2460" w:type="dxa"/>
            <w:tcBorders>
              <w:lef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一、税收返还支出</w:t>
            </w:r>
          </w:p>
        </w:tc>
        <w:tc>
          <w:tcPr>
            <w:tcW w:w="28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3047" w:type="dxa"/>
            <w:tcBorders>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2460" w:type="dxa"/>
            <w:tcBorders>
              <w:lef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二、一般性转移支付</w:t>
            </w:r>
          </w:p>
        </w:tc>
        <w:tc>
          <w:tcPr>
            <w:tcW w:w="28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3047" w:type="dxa"/>
            <w:tcBorders>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2460" w:type="dxa"/>
            <w:tcBorders>
              <w:left w:val="single" w:color="auto" w:sz="4" w:space="0"/>
              <w:bottom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三、专项转移支付</w:t>
            </w:r>
          </w:p>
        </w:tc>
        <w:tc>
          <w:tcPr>
            <w:tcW w:w="2835" w:type="dxa"/>
            <w:tcBorders>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3047" w:type="dxa"/>
            <w:tcBorders>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855" w:hRule="atLeast"/>
        </w:trPr>
        <w:tc>
          <w:tcPr>
            <w:tcW w:w="8342" w:type="dxa"/>
            <w:gridSpan w:val="3"/>
            <w:tcBorders>
              <w:top w:val="single" w:color="auto" w:sz="4" w:space="0"/>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注：因龙湾区下属6个街道，无乡镇，所有支出均列为本级支出，无转移到下级支出</w:t>
            </w:r>
          </w:p>
        </w:tc>
      </w:tr>
    </w:tbl>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6：</w:t>
      </w:r>
    </w:p>
    <w:tbl>
      <w:tblPr>
        <w:tblStyle w:val="6"/>
        <w:tblW w:w="83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27"/>
        <w:gridCol w:w="1483"/>
        <w:gridCol w:w="1266"/>
        <w:gridCol w:w="1343"/>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5" w:hRule="atLeast"/>
        </w:trPr>
        <w:tc>
          <w:tcPr>
            <w:tcW w:w="8328" w:type="dxa"/>
            <w:gridSpan w:val="5"/>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pageBreakBefore w:val="0"/>
              <w:kinsoku/>
              <w:wordWrap/>
              <w:overflowPunct/>
              <w:topLinePunct w:val="0"/>
              <w:autoSpaceDE/>
              <w:autoSpaceDN/>
              <w:bidi w:val="0"/>
              <w:spacing w:line="560" w:lineRule="exact"/>
              <w:jc w:val="center"/>
              <w:textAlignment w:val="auto"/>
              <w:rPr>
                <w:rFonts w:hint="eastAsia" w:ascii="创艺简标宋" w:hAnsi="创艺简标宋" w:eastAsia="创艺简标宋" w:cs="创艺简标宋"/>
                <w:color w:val="auto"/>
                <w:sz w:val="44"/>
                <w:szCs w:val="44"/>
                <w:highlight w:val="none"/>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 xml:space="preserve"> </w:t>
            </w: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2019年龙湾区政府性基金收入执行情况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8328" w:type="dxa"/>
            <w:gridSpan w:val="5"/>
            <w:tcBorders>
              <w:bottom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27"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项目</w:t>
            </w:r>
          </w:p>
        </w:tc>
        <w:tc>
          <w:tcPr>
            <w:tcW w:w="14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12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3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809"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2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政府性基金收入合计</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542309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542386</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100.0%</w:t>
            </w:r>
          </w:p>
        </w:tc>
        <w:tc>
          <w:tcPr>
            <w:tcW w:w="180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2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一、 国有土地使用权出让收入</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445442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440219</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98.8%</w:t>
            </w:r>
          </w:p>
        </w:tc>
        <w:tc>
          <w:tcPr>
            <w:tcW w:w="180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2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二、 城市基础设施配套费收入</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p>
        </w:tc>
        <w:tc>
          <w:tcPr>
            <w:tcW w:w="180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2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三、污水处理费收入</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4188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4188</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100.0%</w:t>
            </w:r>
          </w:p>
        </w:tc>
        <w:tc>
          <w:tcPr>
            <w:tcW w:w="180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2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四、彩票公益金收入</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259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259</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100.0%</w:t>
            </w:r>
          </w:p>
        </w:tc>
        <w:tc>
          <w:tcPr>
            <w:tcW w:w="180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2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彩票发行机构和彩    </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00"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票销售机构的业务费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122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122</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100.0%</w:t>
            </w:r>
          </w:p>
        </w:tc>
        <w:tc>
          <w:tcPr>
            <w:tcW w:w="180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27"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六、其他政府性基金收入</w:t>
            </w:r>
          </w:p>
        </w:tc>
        <w:tc>
          <w:tcPr>
            <w:tcW w:w="14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92298</w:t>
            </w:r>
          </w:p>
        </w:tc>
        <w:tc>
          <w:tcPr>
            <w:tcW w:w="12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97598</w:t>
            </w:r>
          </w:p>
        </w:tc>
        <w:tc>
          <w:tcPr>
            <w:tcW w:w="13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105.7%</w:t>
            </w:r>
          </w:p>
        </w:tc>
        <w:tc>
          <w:tcPr>
            <w:tcW w:w="1809"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auto"/>
                <w:kern w:val="0"/>
                <w:sz w:val="22"/>
                <w:szCs w:val="22"/>
                <w:highlight w:val="none"/>
                <w:u w:val="none"/>
                <w:lang w:val="en-US" w:eastAsia="zh-CN" w:bidi="ar"/>
              </w:rPr>
              <w:t>449.8%</w:t>
            </w:r>
          </w:p>
        </w:tc>
      </w:tr>
    </w:tbl>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color w:val="auto"/>
          <w:highlight w:val="none"/>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7：</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2019年龙湾区政府性基金支出执行情况</w:t>
      </w:r>
    </w:p>
    <w:p>
      <w:pPr>
        <w:keepNext w:val="0"/>
        <w:keepLines w:val="0"/>
        <w:pageBreakBefore w:val="0"/>
        <w:kinsoku/>
        <w:wordWrap/>
        <w:overflowPunct/>
        <w:topLinePunct w:val="0"/>
        <w:autoSpaceDE/>
        <w:autoSpaceDN/>
        <w:bidi w:val="0"/>
        <w:spacing w:line="560" w:lineRule="exact"/>
        <w:jc w:val="center"/>
        <w:textAlignment w:val="auto"/>
        <w:rPr>
          <w:rFonts w:hint="eastAsia" w:ascii="创艺简标宋" w:hAnsi="创艺简标宋" w:eastAsia="创艺简标宋" w:cs="创艺简标宋"/>
          <w:color w:val="auto"/>
          <w:sz w:val="44"/>
          <w:szCs w:val="44"/>
          <w:highlight w:val="none"/>
          <w:lang w:val="en-US" w:eastAsia="zh-CN"/>
        </w:rPr>
      </w:pPr>
      <w:r>
        <w:rPr>
          <w:rFonts w:hint="eastAsia" w:ascii="创艺简标宋" w:hAnsi="创艺简标宋" w:eastAsia="创艺简标宋" w:cs="创艺简标宋"/>
          <w:color w:val="auto"/>
          <w:sz w:val="44"/>
          <w:szCs w:val="44"/>
          <w:highlight w:val="none"/>
          <w:lang w:val="en-US" w:eastAsia="zh-CN"/>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0"/>
          <w:szCs w:val="20"/>
          <w:highlight w:val="none"/>
          <w:lang w:val="en-US" w:eastAsia="zh-CN"/>
        </w:rPr>
        <w:t xml:space="preserve"> 单位：万元</w:t>
      </w:r>
    </w:p>
    <w:tbl>
      <w:tblPr>
        <w:tblStyle w:val="6"/>
        <w:tblW w:w="83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3010"/>
        <w:gridCol w:w="1526"/>
        <w:gridCol w:w="1410"/>
        <w:gridCol w:w="1360"/>
        <w:gridCol w:w="1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422" w:hRule="atLeast"/>
        </w:trPr>
        <w:tc>
          <w:tcPr>
            <w:tcW w:w="30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5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14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3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政府性基金预算支出合计</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849790</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829704</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97.6%</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一、文化旅游体育与传媒支出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旅游发展基金支出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二、社会保障和就业支出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617</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616</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99.8%</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大中型移民后期扶持基金支出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588</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587</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99.8%</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移民补助</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268</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268</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基础设施建设和经济发展</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320</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319</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99.7%</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小型水库移民扶助基金安排的支出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29</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基础设施建设和经济发展</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29</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三、城乡社区支出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778253</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768102</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98.7%</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国有土地使用权出让收入及对应专项债务收入安排的支出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621158</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611007</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98.4%</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征地和拆迁补偿支出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517819</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507668</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98.0%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土地开发支出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74261</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74261</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补助被征地农民支出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10000</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10000</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其他国有土地使用权出让收入安排的支出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19078</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19078</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城市基础设施配套费安排的支出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2970</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2970</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城市公共设施</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2827</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2827</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其他城市基础设施配套费安排的支出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143</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143</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污水处理费安排的支出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4125</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4125</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污水处理设施建设和运营</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4125</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4125</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土地储备专项债券收入安排的支出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150000</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150000</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征地和拆迁补偿支出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150000</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150000</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四、其他支出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60465</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50532</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83.6%</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其他政府性基金及对应专项债务收入安排的支出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59263</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49330</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83.2%</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7"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其他政府性基金安排的支出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59263</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49330</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83.2%</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彩票发行销售机构业务费安排的支出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福利彩票销售机构的业务费支出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彩票公益金及对应专项债务收入安排的支出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1117</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1117</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用于社会福利的彩票公益金支出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490</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490</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用于体育事业的彩票公益金支出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596</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596</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用于教育事业的彩票公益金支出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13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用于残疾人事业的彩票公益金支出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00"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用于城乡医疗救助的彩票公益金支出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五、债务付息支出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10449</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10284</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98.4%</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地方政府专项债务付息支出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10449</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10284</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98.4%</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国有土地使用权出让金债务付息支出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8814</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8814</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0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土地储备专项债券付息支出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1635</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1470</w:t>
            </w:r>
          </w:p>
        </w:tc>
        <w:tc>
          <w:tcPr>
            <w:tcW w:w="13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0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六、债务发行费用支出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地方政府专项债务发行费用支出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16500.0%</w:t>
            </w:r>
          </w:p>
        </w:tc>
        <w:tc>
          <w:tcPr>
            <w:tcW w:w="1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3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国有土地使用权出让金债务发行费用支出</w:t>
            </w:r>
          </w:p>
        </w:tc>
        <w:tc>
          <w:tcPr>
            <w:tcW w:w="15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w:t>
            </w:r>
          </w:p>
        </w:tc>
        <w:tc>
          <w:tcPr>
            <w:tcW w:w="1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16500.0%</w:t>
            </w:r>
          </w:p>
        </w:tc>
        <w:tc>
          <w:tcPr>
            <w:tcW w:w="10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bl>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tbl>
      <w:tblPr>
        <w:tblStyle w:val="6"/>
        <w:tblW w:w="83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14"/>
        <w:gridCol w:w="2560"/>
        <w:gridCol w:w="2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52" w:hRule="atLeast"/>
        </w:trPr>
        <w:tc>
          <w:tcPr>
            <w:tcW w:w="8301" w:type="dxa"/>
            <w:gridSpan w:val="3"/>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44"/>
                <w:szCs w:val="44"/>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附件8：</w:t>
            </w:r>
          </w:p>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2019年龙湾区政府性基金转移支付</w:t>
            </w: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预算执行</w:t>
            </w: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14" w:type="dxa"/>
            <w:tcBorders>
              <w:bottom w:val="single" w:color="auto" w:sz="4" w:space="0"/>
            </w:tcBorders>
            <w:shd w:val="clear" w:color="auto" w:fill="auto"/>
            <w:vAlign w:val="center"/>
          </w:tcPr>
          <w:p>
            <w:pPr>
              <w:jc w:val="both"/>
              <w:rPr>
                <w:rFonts w:hint="eastAsia" w:ascii="宋体" w:hAnsi="宋体" w:eastAsia="宋体" w:cs="宋体"/>
                <w:i w:val="0"/>
                <w:color w:val="auto"/>
                <w:sz w:val="22"/>
                <w:szCs w:val="22"/>
                <w:highlight w:val="none"/>
                <w:u w:val="none"/>
              </w:rPr>
            </w:pPr>
          </w:p>
        </w:tc>
        <w:tc>
          <w:tcPr>
            <w:tcW w:w="2560" w:type="dxa"/>
            <w:tcBorders>
              <w:bottom w:val="single" w:color="auto" w:sz="4" w:space="0"/>
            </w:tcBorders>
            <w:shd w:val="clear" w:color="auto" w:fill="auto"/>
            <w:vAlign w:val="center"/>
          </w:tcPr>
          <w:p>
            <w:pPr>
              <w:jc w:val="both"/>
              <w:rPr>
                <w:rFonts w:hint="eastAsia" w:ascii="宋体" w:hAnsi="宋体" w:eastAsia="宋体" w:cs="宋体"/>
                <w:i w:val="0"/>
                <w:color w:val="auto"/>
                <w:sz w:val="22"/>
                <w:szCs w:val="22"/>
                <w:highlight w:val="none"/>
                <w:u w:val="none"/>
              </w:rPr>
            </w:pPr>
          </w:p>
        </w:tc>
        <w:tc>
          <w:tcPr>
            <w:tcW w:w="2627" w:type="dxa"/>
            <w:tcBorders>
              <w:bottom w:val="single" w:color="auto" w:sz="4" w:space="0"/>
            </w:tcBorders>
            <w:shd w:val="clear" w:color="auto" w:fill="auto"/>
            <w:vAlign w:val="center"/>
          </w:tcPr>
          <w:p>
            <w:pPr>
              <w:keepNext w:val="0"/>
              <w:keepLines w:val="0"/>
              <w:widowControl/>
              <w:suppressLineNumbers w:val="0"/>
              <w:ind w:firstLine="1200" w:firstLineChars="600"/>
              <w:jc w:val="both"/>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14"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项目</w:t>
            </w:r>
          </w:p>
        </w:tc>
        <w:tc>
          <w:tcPr>
            <w:tcW w:w="2560"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预算数</w:t>
            </w:r>
          </w:p>
        </w:tc>
        <w:tc>
          <w:tcPr>
            <w:tcW w:w="2627"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3114"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政府性基金转移支付</w:t>
            </w:r>
          </w:p>
        </w:tc>
        <w:tc>
          <w:tcPr>
            <w:tcW w:w="2560"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2627"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r>
    </w:tbl>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附件9：</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2019年龙湾区本级国有资本经营预算收入执行情况</w:t>
      </w:r>
    </w:p>
    <w:p>
      <w:pPr>
        <w:keepNext w:val="0"/>
        <w:keepLines w:val="0"/>
        <w:pageBreakBefore w:val="0"/>
        <w:kinsoku/>
        <w:wordWrap/>
        <w:overflowPunct/>
        <w:topLinePunct w:val="0"/>
        <w:autoSpaceDE/>
        <w:autoSpaceDN/>
        <w:bidi w:val="0"/>
        <w:spacing w:line="560" w:lineRule="exact"/>
        <w:textAlignment w:val="auto"/>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单位：万元</w:t>
      </w: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 xml:space="preserve"> </w:t>
      </w:r>
    </w:p>
    <w:tbl>
      <w:tblPr>
        <w:tblStyle w:val="6"/>
        <w:tblW w:w="83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00"/>
        <w:gridCol w:w="1481"/>
        <w:gridCol w:w="1335"/>
        <w:gridCol w:w="138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  目</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完成预算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国有资本经营预算收入</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利润收入</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其他国有资本经营预算企业利润收入</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产权转让收入</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4468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其他国有资本经营预算企业产权转让收入</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4468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14.9%</w:t>
            </w:r>
          </w:p>
        </w:tc>
      </w:tr>
    </w:tbl>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br w:type="page"/>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10：</w:t>
      </w:r>
    </w:p>
    <w:tbl>
      <w:tblPr>
        <w:tblStyle w:val="6"/>
        <w:tblW w:w="83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42"/>
        <w:gridCol w:w="1309"/>
        <w:gridCol w:w="1335"/>
        <w:gridCol w:w="1380"/>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8315" w:type="dxa"/>
            <w:gridSpan w:val="5"/>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highlight w:val="none"/>
                <w:u w:val="none"/>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2019年龙湾区本级国有资本经营预算支出执行情况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7" w:hRule="atLeast"/>
        </w:trPr>
        <w:tc>
          <w:tcPr>
            <w:tcW w:w="2942" w:type="dxa"/>
            <w:shd w:val="clear" w:color="auto" w:fill="auto"/>
            <w:vAlign w:val="center"/>
          </w:tcPr>
          <w:p>
            <w:pPr>
              <w:jc w:val="both"/>
              <w:rPr>
                <w:rFonts w:hint="default" w:ascii="Times New Roman" w:hAnsi="Times New Roman" w:eastAsia="宋体" w:cs="Times New Roman"/>
                <w:i w:val="0"/>
                <w:color w:val="auto"/>
                <w:sz w:val="20"/>
                <w:szCs w:val="20"/>
                <w:highlight w:val="none"/>
                <w:u w:val="none"/>
              </w:rPr>
            </w:pPr>
          </w:p>
        </w:tc>
        <w:tc>
          <w:tcPr>
            <w:tcW w:w="1309" w:type="dxa"/>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1335" w:type="dxa"/>
            <w:shd w:val="clear" w:color="auto" w:fill="auto"/>
            <w:vAlign w:val="center"/>
          </w:tcPr>
          <w:p>
            <w:pPr>
              <w:jc w:val="right"/>
              <w:rPr>
                <w:rFonts w:hint="default" w:ascii="Times New Roman" w:hAnsi="Times New Roman" w:eastAsia="宋体" w:cs="Times New Roman"/>
                <w:i w:val="0"/>
                <w:color w:val="auto"/>
                <w:sz w:val="20"/>
                <w:szCs w:val="20"/>
                <w:highlight w:val="none"/>
                <w:u w:val="none"/>
              </w:rPr>
            </w:pPr>
          </w:p>
        </w:tc>
        <w:tc>
          <w:tcPr>
            <w:tcW w:w="272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  目</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完成预算</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国有资本经营预算支出</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4536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4536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国有企业资本金注入</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4468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100.7%</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其他国有企业资本金注入</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4468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100.7%</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其他国有资本经营预算支出</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68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52.9%</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其他国有资本经营预算支出</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68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52.9%</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bl>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br w:type="page"/>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11：</w:t>
      </w:r>
    </w:p>
    <w:tbl>
      <w:tblPr>
        <w:tblStyle w:val="6"/>
        <w:tblpPr w:leftFromText="180" w:rightFromText="180" w:vertAnchor="text" w:horzAnchor="page" w:tblpX="1579" w:tblpY="241"/>
        <w:tblOverlap w:val="never"/>
        <w:tblW w:w="85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45"/>
        <w:gridCol w:w="1137"/>
        <w:gridCol w:w="1173"/>
        <w:gridCol w:w="1786"/>
        <w:gridCol w:w="1228"/>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5" w:hRule="atLeast"/>
        </w:trPr>
        <w:tc>
          <w:tcPr>
            <w:tcW w:w="8537" w:type="dxa"/>
            <w:gridSpan w:val="6"/>
            <w:shd w:val="clear" w:color="auto" w:fill="auto"/>
            <w:vAlign w:val="center"/>
          </w:tcPr>
          <w:p>
            <w:pPr>
              <w:keepNext w:val="0"/>
              <w:keepLines w:val="0"/>
              <w:widowControl/>
              <w:suppressLineNumbers w:val="0"/>
              <w:ind w:firstLine="360" w:firstLineChars="100"/>
              <w:jc w:val="both"/>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widowControl/>
              <w:suppressLineNumbers w:val="0"/>
              <w:ind w:firstLine="720" w:firstLineChars="200"/>
              <w:jc w:val="both"/>
              <w:textAlignment w:val="center"/>
              <w:rPr>
                <w:rFonts w:ascii="方正小标宋简体" w:hAnsi="方正小标宋简体" w:eastAsia="方正小标宋简体" w:cs="方正小标宋简体"/>
                <w:i w:val="0"/>
                <w:color w:val="auto"/>
                <w:sz w:val="36"/>
                <w:szCs w:val="36"/>
                <w:highlight w:val="none"/>
                <w:u w:val="none"/>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2019年龙湾区本级社会保险基金预算执行情况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7" w:hRule="atLeast"/>
        </w:trPr>
        <w:tc>
          <w:tcPr>
            <w:tcW w:w="1945" w:type="dxa"/>
            <w:tcBorders>
              <w:bottom w:val="single" w:color="000000" w:sz="4" w:space="0"/>
            </w:tcBorders>
            <w:shd w:val="clear" w:color="auto" w:fill="auto"/>
            <w:vAlign w:val="center"/>
          </w:tcPr>
          <w:p>
            <w:pPr>
              <w:rPr>
                <w:rFonts w:hint="default" w:ascii="Times New Roman" w:hAnsi="Times New Roman" w:eastAsia="宋体" w:cs="Times New Roman"/>
                <w:i w:val="0"/>
                <w:color w:val="auto"/>
                <w:sz w:val="20"/>
                <w:szCs w:val="20"/>
                <w:highlight w:val="none"/>
                <w:u w:val="none"/>
              </w:rPr>
            </w:pPr>
          </w:p>
        </w:tc>
        <w:tc>
          <w:tcPr>
            <w:tcW w:w="1137" w:type="dxa"/>
            <w:tcBorders>
              <w:bottom w:val="single" w:color="000000" w:sz="4" w:space="0"/>
            </w:tcBorders>
            <w:shd w:val="clear" w:color="auto" w:fill="auto"/>
            <w:vAlign w:val="center"/>
          </w:tcPr>
          <w:p>
            <w:pPr>
              <w:rPr>
                <w:rFonts w:hint="default" w:ascii="Times New Roman" w:hAnsi="Times New Roman" w:eastAsia="宋体" w:cs="Times New Roman"/>
                <w:i w:val="0"/>
                <w:color w:val="auto"/>
                <w:sz w:val="20"/>
                <w:szCs w:val="20"/>
                <w:highlight w:val="none"/>
                <w:u w:val="none"/>
              </w:rPr>
            </w:pPr>
          </w:p>
        </w:tc>
        <w:tc>
          <w:tcPr>
            <w:tcW w:w="1173" w:type="dxa"/>
            <w:tcBorders>
              <w:bottom w:val="single" w:color="000000" w:sz="4" w:space="0"/>
            </w:tcBorders>
            <w:shd w:val="clear" w:color="auto" w:fill="auto"/>
            <w:vAlign w:val="center"/>
          </w:tcPr>
          <w:p>
            <w:pPr>
              <w:rPr>
                <w:rFonts w:hint="default" w:ascii="Times New Roman" w:hAnsi="Times New Roman" w:eastAsia="宋体" w:cs="Times New Roman"/>
                <w:i w:val="0"/>
                <w:color w:val="auto"/>
                <w:sz w:val="20"/>
                <w:szCs w:val="20"/>
                <w:highlight w:val="none"/>
                <w:u w:val="none"/>
              </w:rPr>
            </w:pPr>
          </w:p>
        </w:tc>
        <w:tc>
          <w:tcPr>
            <w:tcW w:w="1786" w:type="dxa"/>
            <w:tcBorders>
              <w:bottom w:val="single" w:color="000000" w:sz="4" w:space="0"/>
            </w:tcBorders>
            <w:shd w:val="clear" w:color="auto" w:fill="auto"/>
            <w:vAlign w:val="center"/>
          </w:tcPr>
          <w:p>
            <w:pPr>
              <w:rPr>
                <w:rFonts w:hint="default" w:ascii="Times New Roman" w:hAnsi="Times New Roman" w:eastAsia="宋体" w:cs="Times New Roman"/>
                <w:i w:val="0"/>
                <w:color w:val="auto"/>
                <w:sz w:val="20"/>
                <w:szCs w:val="20"/>
                <w:highlight w:val="none"/>
                <w:u w:val="none"/>
              </w:rPr>
            </w:pPr>
          </w:p>
        </w:tc>
        <w:tc>
          <w:tcPr>
            <w:tcW w:w="1228" w:type="dxa"/>
            <w:tcBorders>
              <w:bottom w:val="single" w:color="000000" w:sz="4" w:space="0"/>
            </w:tcBorders>
            <w:shd w:val="clear" w:color="auto" w:fill="auto"/>
            <w:vAlign w:val="center"/>
          </w:tcPr>
          <w:p>
            <w:pPr>
              <w:rPr>
                <w:rFonts w:hint="default" w:ascii="Times New Roman" w:hAnsi="Times New Roman" w:eastAsia="宋体" w:cs="Times New Roman"/>
                <w:i w:val="0"/>
                <w:color w:val="auto"/>
                <w:sz w:val="21"/>
                <w:szCs w:val="21"/>
                <w:highlight w:val="none"/>
                <w:u w:val="none"/>
              </w:rPr>
            </w:pPr>
          </w:p>
        </w:tc>
        <w:tc>
          <w:tcPr>
            <w:tcW w:w="1268" w:type="dxa"/>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  目</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  目</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社会保险基金收入</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社会保险基金支出</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城乡居民基本养老保险基金收入</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城乡居民基本养老保险基金支出</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537" w:type="dxa"/>
            <w:gridSpan w:val="6"/>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注：社会保险基金预算并入市级社会保险基金预算</w:t>
            </w:r>
          </w:p>
        </w:tc>
      </w:tr>
    </w:tbl>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12：</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cs="宋体"/>
          <w:i w:val="0"/>
          <w:color w:val="auto"/>
          <w:kern w:val="0"/>
          <w:sz w:val="20"/>
          <w:szCs w:val="20"/>
          <w:highlight w:val="none"/>
          <w:u w:val="none"/>
          <w:lang w:val="en-US" w:eastAsia="zh-CN" w:bidi="ar"/>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 xml:space="preserve">2019年龙湾区本级地方政府债务余额情况                     </w:t>
      </w:r>
      <w:r>
        <w:rPr>
          <w:rFonts w:hint="eastAsia" w:ascii="宋体" w:hAnsi="宋体" w:eastAsia="宋体" w:cs="宋体"/>
          <w:i w:val="0"/>
          <w:color w:val="auto"/>
          <w:kern w:val="0"/>
          <w:sz w:val="20"/>
          <w:szCs w:val="20"/>
          <w:highlight w:val="none"/>
          <w:u w:val="none"/>
          <w:lang w:val="en-US" w:eastAsia="zh-CN" w:bidi="ar"/>
        </w:rPr>
        <w:t xml:space="preserve">  </w:t>
      </w:r>
      <w:r>
        <w:rPr>
          <w:rFonts w:hint="eastAsia" w:ascii="宋体" w:hAnsi="宋体" w:cs="宋体"/>
          <w:i w:val="0"/>
          <w:color w:val="auto"/>
          <w:kern w:val="0"/>
          <w:sz w:val="20"/>
          <w:szCs w:val="20"/>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单位：万元</w:t>
      </w:r>
    </w:p>
    <w:tbl>
      <w:tblPr>
        <w:tblStyle w:val="6"/>
        <w:tblW w:w="83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06"/>
        <w:gridCol w:w="1220"/>
        <w:gridCol w:w="1365"/>
        <w:gridCol w:w="1315"/>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项目</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调整预算数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完成调整预算</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6" w:hRule="atLeast"/>
        </w:trPr>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一、2019年地方政府新增债务限额</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150000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150000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100.0%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其中：一般债务</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b w:val="0"/>
                <w:bCs/>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b w:val="0"/>
                <w:bCs/>
                <w:i w:val="0"/>
                <w:color w:val="auto"/>
                <w:sz w:val="20"/>
                <w:szCs w:val="20"/>
                <w:highlight w:val="none"/>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b w:val="0"/>
                <w:bCs/>
                <w:i w:val="0"/>
                <w:color w:val="auto"/>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专项债务</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150000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150000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100.0%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二、2019年末地方政府债务限额</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heme="minorEastAsia" w:hAnsiTheme="minorEastAsia" w:eastAsiaTheme="minorEastAsia" w:cstheme="minorEastAsia"/>
                <w:b w:val="0"/>
                <w:bCs/>
                <w:i w:val="0"/>
                <w:color w:val="auto"/>
                <w:sz w:val="20"/>
                <w:szCs w:val="20"/>
                <w:highlight w:val="none"/>
                <w:u w:val="none"/>
                <w:lang w:val="en-US"/>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614800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heme="minorEastAsia" w:hAnsiTheme="minorEastAsia" w:eastAsiaTheme="minorEastAsia" w:cstheme="minorEastAsia"/>
                <w:b w:val="0"/>
                <w:bCs/>
                <w:i w:val="0"/>
                <w:color w:val="auto"/>
                <w:sz w:val="20"/>
                <w:szCs w:val="20"/>
                <w:highlight w:val="none"/>
                <w:u w:val="none"/>
                <w:lang w:val="en-US"/>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614800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100.0%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其中：一般债务</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151100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heme="minorEastAsia" w:hAnsiTheme="minorEastAsia" w:eastAsiaTheme="minorEastAsia" w:cstheme="minorEastAsia"/>
                <w:b w:val="0"/>
                <w:bCs/>
                <w:i w:val="0"/>
                <w:color w:val="auto"/>
                <w:sz w:val="20"/>
                <w:szCs w:val="20"/>
                <w:highlight w:val="none"/>
                <w:u w:val="none"/>
                <w:lang w:val="en-US"/>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151100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100.0%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专项债务</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heme="minorEastAsia" w:hAnsiTheme="minorEastAsia" w:eastAsiaTheme="minorEastAsia" w:cstheme="minorEastAsia"/>
                <w:b w:val="0"/>
                <w:bCs/>
                <w:i w:val="0"/>
                <w:color w:val="auto"/>
                <w:sz w:val="20"/>
                <w:szCs w:val="20"/>
                <w:highlight w:val="none"/>
                <w:u w:val="none"/>
                <w:lang w:val="en-US"/>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463700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heme="minorEastAsia" w:hAnsiTheme="minorEastAsia" w:eastAsiaTheme="minorEastAsia" w:cstheme="minorEastAsia"/>
                <w:b w:val="0"/>
                <w:bCs/>
                <w:i w:val="0"/>
                <w:color w:val="auto"/>
                <w:sz w:val="20"/>
                <w:szCs w:val="20"/>
                <w:highlight w:val="none"/>
                <w:u w:val="none"/>
                <w:lang w:val="en-US"/>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463700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100.0%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三、2019年末地方政府债务余额</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614727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614727</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100.0%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32.3%</w:t>
            </w:r>
          </w:p>
        </w:tc>
      </w:tr>
    </w:tbl>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13：</w:t>
      </w:r>
    </w:p>
    <w:tbl>
      <w:tblPr>
        <w:tblStyle w:val="6"/>
        <w:tblW w:w="83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60"/>
        <w:gridCol w:w="1256"/>
        <w:gridCol w:w="1134"/>
        <w:gridCol w:w="1065"/>
        <w:gridCol w:w="1065"/>
        <w:gridCol w:w="1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8328" w:type="dxa"/>
            <w:gridSpan w:val="6"/>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highlight w:val="none"/>
                <w:u w:val="none"/>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2019年龙湾区“三公”经费执行情况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9" w:hRule="atLeast"/>
        </w:trPr>
        <w:tc>
          <w:tcPr>
            <w:tcW w:w="1960" w:type="dxa"/>
            <w:tcBorders>
              <w:bottom w:val="single" w:color="000000" w:sz="4" w:space="0"/>
            </w:tcBorders>
            <w:shd w:val="clear" w:color="auto" w:fill="auto"/>
            <w:vAlign w:val="center"/>
          </w:tcPr>
          <w:p>
            <w:pPr>
              <w:jc w:val="center"/>
              <w:rPr>
                <w:rFonts w:hint="default" w:ascii="方正小标宋简体" w:hAnsi="方正小标宋简体" w:eastAsia="方正小标宋简体" w:cs="方正小标宋简体"/>
                <w:i w:val="0"/>
                <w:color w:val="auto"/>
                <w:sz w:val="32"/>
                <w:szCs w:val="32"/>
                <w:highlight w:val="none"/>
                <w:u w:val="none"/>
              </w:rPr>
            </w:pPr>
          </w:p>
        </w:tc>
        <w:tc>
          <w:tcPr>
            <w:tcW w:w="1256" w:type="dxa"/>
            <w:tcBorders>
              <w:bottom w:val="single" w:color="000000" w:sz="4" w:space="0"/>
            </w:tcBorders>
            <w:shd w:val="clear" w:color="auto" w:fill="auto"/>
            <w:vAlign w:val="center"/>
          </w:tcPr>
          <w:p>
            <w:pPr>
              <w:jc w:val="right"/>
              <w:rPr>
                <w:rFonts w:hint="default" w:ascii="Times New Roman" w:hAnsi="Times New Roman" w:eastAsia="宋体" w:cs="Times New Roman"/>
                <w:i w:val="0"/>
                <w:color w:val="auto"/>
                <w:sz w:val="20"/>
                <w:szCs w:val="20"/>
                <w:highlight w:val="none"/>
                <w:u w:val="none"/>
              </w:rPr>
            </w:pPr>
          </w:p>
        </w:tc>
        <w:tc>
          <w:tcPr>
            <w:tcW w:w="1134" w:type="dxa"/>
            <w:tcBorders>
              <w:bottom w:val="single" w:color="000000" w:sz="4" w:space="0"/>
            </w:tcBorders>
            <w:shd w:val="clear" w:color="auto" w:fill="auto"/>
            <w:vAlign w:val="center"/>
          </w:tcPr>
          <w:p>
            <w:pPr>
              <w:jc w:val="left"/>
              <w:rPr>
                <w:rFonts w:hint="default" w:ascii="Times New Roman" w:hAnsi="Times New Roman" w:eastAsia="宋体" w:cs="Times New Roman"/>
                <w:i w:val="0"/>
                <w:color w:val="auto"/>
                <w:sz w:val="20"/>
                <w:szCs w:val="20"/>
                <w:highlight w:val="none"/>
                <w:u w:val="none"/>
              </w:rPr>
            </w:pPr>
          </w:p>
        </w:tc>
        <w:tc>
          <w:tcPr>
            <w:tcW w:w="1065" w:type="dxa"/>
            <w:tcBorders>
              <w:bottom w:val="single" w:color="000000" w:sz="4" w:space="0"/>
            </w:tcBorders>
            <w:shd w:val="clear" w:color="auto" w:fill="auto"/>
            <w:vAlign w:val="center"/>
          </w:tcPr>
          <w:p>
            <w:pPr>
              <w:jc w:val="left"/>
              <w:rPr>
                <w:rFonts w:hint="default" w:ascii="Times New Roman" w:hAnsi="Times New Roman" w:eastAsia="宋体" w:cs="Times New Roman"/>
                <w:i w:val="0"/>
                <w:color w:val="auto"/>
                <w:sz w:val="20"/>
                <w:szCs w:val="20"/>
                <w:highlight w:val="none"/>
                <w:u w:val="none"/>
              </w:rPr>
            </w:pPr>
          </w:p>
        </w:tc>
        <w:tc>
          <w:tcPr>
            <w:tcW w:w="1065" w:type="dxa"/>
            <w:tcBorders>
              <w:bottom w:val="single" w:color="000000" w:sz="4" w:space="0"/>
            </w:tcBorders>
            <w:shd w:val="clear" w:color="auto" w:fill="auto"/>
            <w:vAlign w:val="center"/>
          </w:tcPr>
          <w:p>
            <w:pPr>
              <w:jc w:val="left"/>
              <w:rPr>
                <w:rFonts w:hint="default" w:ascii="Times New Roman" w:hAnsi="Times New Roman" w:eastAsia="宋体" w:cs="Times New Roman"/>
                <w:i w:val="0"/>
                <w:color w:val="auto"/>
                <w:sz w:val="20"/>
                <w:szCs w:val="20"/>
                <w:highlight w:val="none"/>
                <w:u w:val="none"/>
              </w:rPr>
            </w:pPr>
          </w:p>
        </w:tc>
        <w:tc>
          <w:tcPr>
            <w:tcW w:w="1848" w:type="dxa"/>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Style w:val="12"/>
                <w:rFonts w:hint="eastAsia" w:asciiTheme="minorEastAsia" w:hAnsiTheme="minorEastAsia" w:eastAsiaTheme="minorEastAsia" w:cstheme="minorEastAsia"/>
                <w:color w:val="auto"/>
                <w:sz w:val="20"/>
                <w:szCs w:val="20"/>
                <w:highlight w:val="none"/>
                <w:lang w:val="en-US" w:eastAsia="zh-CN" w:bidi="ar"/>
              </w:rPr>
              <w:t>项    目</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完成预算</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支出合计</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1876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1338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1"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因公出国（境）</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-25.1%</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因工作安排情况，因公出国（境）相对2018年有所下降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公务接待</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协办2019年世界青年科学家峰会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车辆购置与运行</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1518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kern w:val="2"/>
                <w:sz w:val="20"/>
                <w:szCs w:val="20"/>
                <w:highlight w:val="none"/>
                <w:u w:val="none"/>
                <w:lang w:val="en-US" w:eastAsia="zh-CN" w:bidi="ar-SA"/>
              </w:rPr>
            </w:pPr>
            <w:r>
              <w:rPr>
                <w:rFonts w:hint="eastAsia" w:asciiTheme="minorEastAsia" w:hAnsiTheme="minorEastAsia" w:eastAsiaTheme="minorEastAsia" w:cstheme="minorEastAsia"/>
                <w:i w:val="0"/>
                <w:color w:val="auto"/>
                <w:kern w:val="0"/>
                <w:sz w:val="20"/>
                <w:szCs w:val="20"/>
                <w:highlight w:val="none"/>
                <w:u w:val="none"/>
                <w:lang w:val="en-US" w:eastAsia="zh-CN" w:bidi="ar"/>
              </w:rPr>
              <w:t>进一步加强公车运行管理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其中：车辆购置</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94.5%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车辆运行</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10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-0.8%</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bl>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14：</w:t>
      </w:r>
    </w:p>
    <w:tbl>
      <w:tblPr>
        <w:tblStyle w:val="6"/>
        <w:tblpPr w:leftFromText="180" w:rightFromText="180" w:vertAnchor="text" w:horzAnchor="page" w:tblpX="1672" w:tblpY="319"/>
        <w:tblOverlap w:val="never"/>
        <w:tblW w:w="105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89"/>
        <w:gridCol w:w="1957"/>
        <w:gridCol w:w="1759"/>
        <w:gridCol w:w="1905"/>
        <w:gridCol w:w="2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219" w:type="dxa"/>
          <w:trHeight w:val="885" w:hRule="atLeast"/>
        </w:trPr>
        <w:tc>
          <w:tcPr>
            <w:tcW w:w="8310" w:type="dxa"/>
            <w:gridSpan w:val="4"/>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highlight w:val="none"/>
                <w:u w:val="none"/>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2020年龙湾区一般公共预算收入预算（草案）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316" w:hRule="atLeast"/>
        </w:trPr>
        <w:tc>
          <w:tcPr>
            <w:tcW w:w="2689" w:type="dxa"/>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w:t>
            </w:r>
          </w:p>
        </w:tc>
        <w:tc>
          <w:tcPr>
            <w:tcW w:w="1957" w:type="dxa"/>
            <w:tcBorders>
              <w:bottom w:val="single" w:color="000000" w:sz="4" w:space="0"/>
            </w:tcBorders>
            <w:shd w:val="clear" w:color="auto" w:fill="auto"/>
            <w:vAlign w:val="center"/>
          </w:tcPr>
          <w:p>
            <w:pPr>
              <w:rPr>
                <w:rFonts w:hint="eastAsia" w:ascii="宋体" w:hAnsi="宋体" w:eastAsia="宋体" w:cs="宋体"/>
                <w:i w:val="0"/>
                <w:color w:val="auto"/>
                <w:sz w:val="22"/>
                <w:szCs w:val="22"/>
                <w:highlight w:val="none"/>
                <w:u w:val="none"/>
              </w:rPr>
            </w:pPr>
          </w:p>
        </w:tc>
        <w:tc>
          <w:tcPr>
            <w:tcW w:w="1759" w:type="dxa"/>
            <w:tcBorders>
              <w:bottom w:val="single" w:color="000000" w:sz="4" w:space="0"/>
            </w:tcBorders>
            <w:shd w:val="clear" w:color="auto" w:fill="auto"/>
            <w:vAlign w:val="center"/>
          </w:tcPr>
          <w:p>
            <w:pPr>
              <w:rPr>
                <w:rFonts w:hint="eastAsia" w:ascii="宋体" w:hAnsi="宋体" w:eastAsia="宋体" w:cs="宋体"/>
                <w:i w:val="0"/>
                <w:color w:val="auto"/>
                <w:sz w:val="22"/>
                <w:szCs w:val="22"/>
                <w:highlight w:val="none"/>
                <w:u w:val="none"/>
              </w:rPr>
            </w:pPr>
          </w:p>
        </w:tc>
        <w:tc>
          <w:tcPr>
            <w:tcW w:w="1905" w:type="dxa"/>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w:t>
            </w: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  目</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2019年执行数</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2020年预算数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01" w:firstLineChars="100"/>
              <w:jc w:val="both"/>
              <w:textAlignment w:val="center"/>
              <w:rPr>
                <w:rFonts w:hint="eastAsia" w:asciiTheme="minorEastAsia" w:hAnsiTheme="minorEastAsia" w:eastAsiaTheme="minorEastAsia" w:cstheme="minorEastAsia"/>
                <w:b/>
                <w:bCs w:val="0"/>
                <w:i w:val="0"/>
                <w:color w:val="auto"/>
                <w:sz w:val="20"/>
                <w:szCs w:val="20"/>
                <w:highlight w:val="none"/>
                <w:u w:val="none"/>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财政总收入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540181</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585836</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bCs w:val="0"/>
                <w:i w:val="0"/>
                <w:color w:val="auto"/>
                <w:sz w:val="20"/>
                <w:szCs w:val="20"/>
                <w:highlight w:val="none"/>
                <w:u w:val="none"/>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 xml:space="preserve">  一般公共预算收入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321631</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 xml:space="preserve">347361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一、税收收入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270625</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 xml:space="preserve">297685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增值税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120104</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 xml:space="preserve">134485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企业所得税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55736</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 xml:space="preserve">58000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个人所得税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9771</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 xml:space="preserve">11200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资源税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62</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100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城市维护建设税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19941</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23000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房产税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15827</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16500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印花税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5063</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5800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城镇土地使用税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5285</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5400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土地增值税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32335</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35000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车船税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2818</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3600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耕地占用税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2919</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3500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环境保护税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510</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1100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其他税收</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254</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二、非税收入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51006</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49676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专项收入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14331</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17200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行政事业性收费收入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5778</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6300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罚没收入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4241</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5700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国有资本经营收入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8579</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国有资源（资产）有偿使用收入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16705</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19276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政府住房基金收入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1372</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 xml:space="preserve">1200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上划中央“六税”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218550</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 xml:space="preserve">238475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1.国内消费税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184 </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 xml:space="preserve">190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2.国内增值税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82410 </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 xml:space="preserve">92278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3.企业所得税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83605 </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 xml:space="preserve">87000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4.个人所得税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14657 </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 xml:space="preserve">16800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5.改征增值税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37694 </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 xml:space="preserve">42207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19" w:type="dxa"/>
          <w:trHeight w:val="286"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6.营业税</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3" w:hRule="atLeast"/>
        </w:trPr>
        <w:tc>
          <w:tcPr>
            <w:tcW w:w="10529"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附件15：</w:t>
            </w:r>
          </w:p>
          <w:p>
            <w:pPr>
              <w:keepNext w:val="0"/>
              <w:keepLines w:val="0"/>
              <w:pageBreakBefore w:val="0"/>
              <w:widowControl/>
              <w:suppressLineNumbers w:val="0"/>
              <w:kinsoku/>
              <w:wordWrap/>
              <w:overflowPunct/>
              <w:topLinePunct w:val="0"/>
              <w:autoSpaceDE/>
              <w:autoSpaceDN/>
              <w:bidi w:val="0"/>
              <w:adjustRightInd/>
              <w:snapToGrid/>
              <w:ind w:firstLine="720" w:firstLineChars="200"/>
              <w:jc w:val="both"/>
              <w:textAlignment w:val="center"/>
              <w:rPr>
                <w:rFonts w:ascii="Cambria" w:hAnsi="Cambria" w:eastAsia="Cambria" w:cs="Cambria"/>
                <w:i w:val="0"/>
                <w:color w:val="auto"/>
                <w:sz w:val="44"/>
                <w:szCs w:val="44"/>
                <w:highlight w:val="none"/>
                <w:u w:val="none"/>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2020年龙湾区一般公共预算支出预算（草案）</w:t>
            </w:r>
          </w:p>
        </w:tc>
      </w:tr>
    </w:tbl>
    <w:p>
      <w:pPr>
        <w:keepNext w:val="0"/>
        <w:keepLines w:val="0"/>
        <w:pageBreakBefore w:val="0"/>
        <w:kinsoku/>
        <w:wordWrap/>
        <w:overflowPunct/>
        <w:topLinePunct w:val="0"/>
        <w:autoSpaceDE/>
        <w:autoSpaceDN/>
        <w:bidi w:val="0"/>
        <w:spacing w:line="560" w:lineRule="exact"/>
        <w:textAlignment w:val="auto"/>
        <w:rPr>
          <w:rFonts w:hint="eastAsia" w:eastAsia="宋体"/>
          <w:color w:val="auto"/>
          <w:sz w:val="20"/>
          <w:szCs w:val="20"/>
          <w:highlight w:val="none"/>
          <w:lang w:val="en-US" w:eastAsia="zh-CN"/>
        </w:rPr>
      </w:pPr>
      <w:r>
        <w:rPr>
          <w:rFonts w:hint="eastAsia"/>
          <w:color w:val="auto"/>
          <w:highlight w:val="none"/>
          <w:lang w:val="en-US" w:eastAsia="zh-CN"/>
        </w:rPr>
        <w:t xml:space="preserve">                                                                     </w:t>
      </w:r>
      <w:r>
        <w:rPr>
          <w:rFonts w:hint="eastAsia"/>
          <w:color w:val="auto"/>
          <w:sz w:val="20"/>
          <w:szCs w:val="20"/>
          <w:highlight w:val="none"/>
          <w:lang w:val="en-US" w:eastAsia="zh-CN"/>
        </w:rPr>
        <w:t xml:space="preserve"> 单位：万元</w:t>
      </w:r>
    </w:p>
    <w:tbl>
      <w:tblPr>
        <w:tblStyle w:val="6"/>
        <w:tblpPr w:leftFromText="180" w:rightFromText="180" w:vertAnchor="text" w:horzAnchor="page" w:tblpX="1222" w:tblpY="564"/>
        <w:tblOverlap w:val="never"/>
        <w:tblW w:w="9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94"/>
        <w:gridCol w:w="982"/>
        <w:gridCol w:w="894"/>
        <w:gridCol w:w="919"/>
        <w:gridCol w:w="1183"/>
        <w:gridCol w:w="917"/>
        <w:gridCol w:w="2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增长</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bCs w:val="0"/>
                <w:i w:val="0"/>
                <w:color w:val="auto"/>
                <w:kern w:val="0"/>
                <w:sz w:val="20"/>
                <w:szCs w:val="20"/>
                <w:highlight w:val="none"/>
                <w:u w:val="none"/>
                <w:lang w:val="en-US" w:eastAsia="zh-CN" w:bidi="ar"/>
              </w:rPr>
              <w:t>一般公共预算支出合计</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399982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442485</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10.6%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414085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5.2%</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default" w:asciiTheme="minorEastAsia" w:hAnsiTheme="minorEastAsia" w:eastAsiaTheme="minorEastAsia" w:cstheme="minorEastAsia"/>
                <w:b w:val="0"/>
                <w:bCs/>
                <w:i w:val="0"/>
                <w:color w:val="auto"/>
                <w:kern w:val="0"/>
                <w:sz w:val="20"/>
                <w:szCs w:val="20"/>
                <w:highlight w:val="none"/>
                <w:u w:val="none"/>
                <w:lang w:val="en-US" w:eastAsia="zh-CN" w:bidi="ar"/>
              </w:rPr>
              <w:t>剔除因新冠病毒疫情增加支出1.34亿元和新增债券支出1.5亿元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201一般公共服务支出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67216</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69000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2.7%</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67000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-0.3%</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default" w:asciiTheme="minorEastAsia" w:hAnsiTheme="minorEastAsia" w:eastAsiaTheme="minorEastAsia" w:cstheme="minorEastAsia"/>
                <w:b w:val="0"/>
                <w:bCs/>
                <w:i w:val="0"/>
                <w:color w:val="auto"/>
                <w:kern w:val="0"/>
                <w:sz w:val="20"/>
                <w:szCs w:val="20"/>
                <w:highlight w:val="none"/>
                <w:u w:val="none"/>
                <w:lang w:val="en-US" w:eastAsia="zh-CN" w:bidi="ar"/>
              </w:rPr>
              <w:t>剔除2020年新冠病毒疫情增加支出2000万元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203国防支出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108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56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-48.1%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56</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-48.1%</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204公共安全支出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42797</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41630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-2.7%</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41630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-2.7%</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205教育支出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90013</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96500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7.2%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91500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5.3%</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剔除2020年新增债券支出5000万，因高中教育划转到市级，剔除2019年高中教育基础设施建设3151万元，同比增长5.3%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206科学技术支出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25177</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29200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16.0%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27700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10.0%</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default" w:asciiTheme="minorEastAsia" w:hAnsiTheme="minorEastAsia" w:eastAsiaTheme="minorEastAsia" w:cstheme="minorEastAsia"/>
                <w:b w:val="0"/>
                <w:bCs/>
                <w:i w:val="0"/>
                <w:color w:val="auto"/>
                <w:kern w:val="0"/>
                <w:sz w:val="20"/>
                <w:szCs w:val="20"/>
                <w:highlight w:val="none"/>
                <w:u w:val="none"/>
                <w:lang w:val="en-US" w:eastAsia="zh-CN" w:bidi="ar"/>
              </w:rPr>
              <w:t>剔除2020年新冠病毒疫情增加支出1500万元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207文化旅游体育与传媒支出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7369</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7400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0.4%</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7400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0.4%</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208社会保障和就业支出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26568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32808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23.5%</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27973</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5.3%</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default" w:asciiTheme="minorEastAsia" w:hAnsiTheme="minorEastAsia" w:eastAsiaTheme="minorEastAsia" w:cstheme="minorEastAsia"/>
                <w:b w:val="0"/>
                <w:bCs/>
                <w:i w:val="0"/>
                <w:color w:val="auto"/>
                <w:kern w:val="0"/>
                <w:sz w:val="20"/>
                <w:szCs w:val="20"/>
                <w:highlight w:val="none"/>
                <w:u w:val="none"/>
                <w:lang w:val="en-US" w:eastAsia="zh-CN" w:bidi="ar"/>
              </w:rPr>
              <w:t>剔除2020年新冠病毒疫情增加支出4835万元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210卫生健康支出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39296</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41675</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37600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-4.3%</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default" w:asciiTheme="minorEastAsia" w:hAnsiTheme="minorEastAsia" w:eastAsiaTheme="minorEastAsia" w:cstheme="minorEastAsia"/>
                <w:b w:val="0"/>
                <w:bCs/>
                <w:i w:val="0"/>
                <w:color w:val="auto"/>
                <w:kern w:val="0"/>
                <w:sz w:val="20"/>
                <w:szCs w:val="20"/>
                <w:highlight w:val="none"/>
                <w:u w:val="none"/>
                <w:lang w:val="en-US" w:eastAsia="zh-CN" w:bidi="ar"/>
              </w:rPr>
              <w:t>剔除2020年新冠病毒疫情增加支出4075万元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7"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211节能环保支出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11608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6300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-45.7%</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6300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-45.7%</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212城乡社区支出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38355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48400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26.2%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38400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0.1%</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default" w:asciiTheme="minorEastAsia" w:hAnsiTheme="minorEastAsia" w:eastAsiaTheme="minorEastAsia" w:cstheme="minorEastAsia"/>
                <w:b w:val="0"/>
                <w:bCs/>
                <w:i w:val="0"/>
                <w:color w:val="auto"/>
                <w:kern w:val="0"/>
                <w:sz w:val="20"/>
                <w:szCs w:val="20"/>
                <w:highlight w:val="none"/>
                <w:u w:val="none"/>
                <w:lang w:val="en-US" w:eastAsia="zh-CN" w:bidi="ar"/>
              </w:rPr>
              <w:t>剔除2020年新增债券支出10000万元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213农林水支出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10978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27000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145.9%</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26760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143.8%</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heme="minorEastAsia" w:hAnsiTheme="minorEastAsia" w:eastAsiaTheme="minorEastAsia" w:cstheme="minorEastAsia"/>
                <w:b w:val="0"/>
                <w:bCs/>
                <w:i w:val="0"/>
                <w:color w:val="auto"/>
                <w:kern w:val="0"/>
                <w:sz w:val="20"/>
                <w:szCs w:val="20"/>
                <w:highlight w:val="none"/>
                <w:u w:val="none"/>
                <w:lang w:val="en-US" w:eastAsia="zh-CN" w:bidi="ar"/>
              </w:rPr>
            </w:pPr>
            <w:r>
              <w:rPr>
                <w:rFonts w:hint="default" w:asciiTheme="minorEastAsia" w:hAnsiTheme="minorEastAsia" w:eastAsiaTheme="minorEastAsia" w:cstheme="minorEastAsia"/>
                <w:b w:val="0"/>
                <w:bCs/>
                <w:i w:val="0"/>
                <w:color w:val="auto"/>
                <w:kern w:val="0"/>
                <w:sz w:val="20"/>
                <w:szCs w:val="20"/>
                <w:highlight w:val="none"/>
                <w:u w:val="none"/>
                <w:lang w:val="en-US" w:eastAsia="zh-CN" w:bidi="ar"/>
              </w:rPr>
              <w:t>剔除2020年新冠病毒疫情增加支出240万元，另增加省水利建设与发展专项资金</w:t>
            </w: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1.84亿元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214交通运输支出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4959</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4500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-9.3%</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4500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-9.3%</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215资源勘探信息等支出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4816</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3700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-23.2%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3700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-23.2%</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216商业服务业等支出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2086</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2100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0.7%</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2100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0.7%</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增长</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217金融支出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416</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410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-1.4%</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410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-1.4%</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219援助其他地区支出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1179</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1280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1280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8.6%</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220自然资源海洋气象等支出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4081</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770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-81.1%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770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-13.7%</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剔除2019年市级统筹占补平衡指标费3189万元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221住房保障支出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13686</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15000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15000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9.6%</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224灾害防治及应急管理支出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3629</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4450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3700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仿宋_GB2312" w:hAnsi="宋体" w:eastAsia="仿宋_GB2312" w:cs="仿宋_GB2312"/>
                <w:i w:val="0"/>
                <w:color w:val="auto"/>
                <w:kern w:val="0"/>
                <w:sz w:val="20"/>
                <w:szCs w:val="20"/>
                <w:highlight w:val="none"/>
                <w:u w:val="none"/>
                <w:lang w:val="en-US" w:eastAsia="zh-CN" w:bidi="ar"/>
              </w:rPr>
              <w:t>剔除2020年新冠病毒疫情增加支出750万元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227预备费</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4500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4500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229其他支出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412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21.4%</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21.4%</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232债务付息支出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5233</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5306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5306</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i w:val="0"/>
                <w:color w:val="auto"/>
                <w:sz w:val="20"/>
                <w:szCs w:val="20"/>
                <w:highlight w:val="none"/>
                <w:u w:val="none"/>
              </w:rPr>
            </w:pPr>
          </w:p>
        </w:tc>
      </w:tr>
    </w:tbl>
    <w:p>
      <w:pPr>
        <w:keepNext w:val="0"/>
        <w:keepLines w:val="0"/>
        <w:pageBreakBefore w:val="0"/>
        <w:kinsoku/>
        <w:wordWrap/>
        <w:overflowPunct/>
        <w:topLinePunct w:val="0"/>
        <w:autoSpaceDE/>
        <w:autoSpaceDN/>
        <w:bidi w:val="0"/>
        <w:adjustRightInd/>
        <w:snapToGrid/>
        <w:spacing w:line="560" w:lineRule="exact"/>
        <w:jc w:val="center"/>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sectPr>
          <w:pgSz w:w="11906" w:h="16838"/>
          <w:pgMar w:top="1440" w:right="1800" w:bottom="1440" w:left="1800" w:header="851" w:footer="1191"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附件16：</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ind w:right="-313" w:rightChars="-149" w:firstLine="360" w:firstLineChars="100"/>
        <w:jc w:val="left"/>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2020年龙湾区本级一般公共预算支出预算（草案）</w:t>
      </w:r>
    </w:p>
    <w:p>
      <w:pPr>
        <w:keepNext w:val="0"/>
        <w:keepLines w:val="0"/>
        <w:widowControl/>
        <w:suppressLineNumbers w:val="0"/>
        <w:jc w:val="both"/>
        <w:textAlignment w:val="center"/>
        <w:rPr>
          <w:rFonts w:hint="default" w:ascii="Cambria" w:hAnsi="Cambria" w:eastAsia="Cambria" w:cs="Cambria"/>
          <w:i w:val="0"/>
          <w:color w:val="auto"/>
          <w:kern w:val="0"/>
          <w:sz w:val="44"/>
          <w:szCs w:val="44"/>
          <w:highlight w:val="none"/>
          <w:u w:val="none"/>
          <w:lang w:val="en-US" w:eastAsia="zh-CN" w:bidi="ar"/>
        </w:rPr>
      </w:pPr>
      <w:r>
        <w:rPr>
          <w:rFonts w:hint="eastAsia" w:ascii="Cambria" w:hAnsi="Cambria" w:eastAsia="Cambria" w:cs="Cambria"/>
          <w:i w:val="0"/>
          <w:color w:val="auto"/>
          <w:kern w:val="0"/>
          <w:sz w:val="44"/>
          <w:szCs w:val="44"/>
          <w:highlight w:val="none"/>
          <w:u w:val="none"/>
          <w:lang w:val="en-US" w:eastAsia="zh-CN" w:bidi="ar"/>
        </w:rPr>
        <w:t xml:space="preserve">                                 </w:t>
      </w:r>
      <w:r>
        <w:rPr>
          <w:rFonts w:hint="eastAsia" w:asciiTheme="minorEastAsia" w:hAnsiTheme="minorEastAsia" w:eastAsiaTheme="minorEastAsia" w:cstheme="minorEastAsia"/>
          <w:i w:val="0"/>
          <w:color w:val="auto"/>
          <w:kern w:val="0"/>
          <w:sz w:val="20"/>
          <w:szCs w:val="20"/>
          <w:highlight w:val="none"/>
          <w:u w:val="none"/>
          <w:lang w:val="en-US" w:eastAsia="zh-CN" w:bidi="ar"/>
        </w:rPr>
        <w:t>单位：万元</w:t>
      </w:r>
    </w:p>
    <w:tbl>
      <w:tblPr>
        <w:tblStyle w:val="6"/>
        <w:tblpPr w:leftFromText="180" w:rightFromText="180" w:vertAnchor="text" w:horzAnchor="page" w:tblpX="1271" w:tblpY="305"/>
        <w:tblOverlap w:val="never"/>
        <w:tblW w:w="96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75"/>
        <w:gridCol w:w="2466"/>
        <w:gridCol w:w="1277"/>
        <w:gridCol w:w="1039"/>
        <w:gridCol w:w="797"/>
        <w:gridCol w:w="1173"/>
        <w:gridCol w:w="995"/>
        <w:gridCol w:w="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auto"/>
                <w:sz w:val="20"/>
                <w:szCs w:val="20"/>
                <w:highlight w:val="none"/>
                <w:u w:val="none"/>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一般公共预算支出合计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399982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442485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414085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一般公共服务支出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67216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69000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67000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人大事务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1613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1579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1579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2010104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人大会议</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2010106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人大监督</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2010107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人大代表履职能力提升</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2010108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代表工作</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2010150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其他人大事务支出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政协事务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-0.3%</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1140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2010202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2010204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政协会议</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2010205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委员视察</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2010206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参政议政</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2010250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政府办公厅(室)及相关机构事务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27297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31244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29244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2010301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6533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8011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2010302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3147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1877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1877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2010303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机关服务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4148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5064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5064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2010305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专项业务活动</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2010308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信访事务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2010350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12068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2010399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其他政府办公厅(室)及相关机构事务支出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836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1061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1061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发展与改革事务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1669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1669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2010401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2010402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2010404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战略规划与实施</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2010408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物价管理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2010450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2010499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其他发展与改革事务支出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统计信息事务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2010501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671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2010502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2010507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专项普查活动</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2010550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财政事务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2175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2175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2010601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1145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2010602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2010607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信息化建设</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2010650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税收事务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4608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4261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4261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2010701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2490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3303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2010702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958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958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审计事务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782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2010801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2010804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审计业务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2010805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审计管理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2010806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信息化建设</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2010850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人力资源事务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1333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1333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2011008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引进人才费用</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1333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1333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纪检监察事务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3151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3028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3028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2911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2735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2735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2011150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其他纪检监察事务支出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商贸事务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2637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2544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2544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2011301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2011302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2011304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对外贸易管理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2011307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国内贸易管理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2011350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2011399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其他商贸事务支出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民族事务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2012301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2012304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民族工作专项</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2012350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2012399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其他民族事务支出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港澳台事务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2012505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台湾事务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2012599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其他港澳台事务支出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群众团体事务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1603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2012901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2012902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2012950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2012999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其他群众团体事务支出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党委办公厅(室)及相关机构事务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4368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4368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2288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2295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2295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578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2013105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专项业务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2013150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其他党委办公厅(室)及相关机构事务支出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组织事务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3190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1567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1567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科目调整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2013202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2013250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2013299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其他组织事务支出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1892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宣传事务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1059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1059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2013301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2013302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2013350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2013399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其他宣传事务支出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统战事务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1224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1245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1245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2013401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680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2013402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2013404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宗教事务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2013450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2013499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其他统战事务支出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市场监督管理事务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7394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7203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2013801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4384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4082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4082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2013802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2013805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市场秩序执法</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2013808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信息化建设</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2013815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质量安全监管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2013816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食品安全监管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2013850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1540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2013899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其他市场监督管理事务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其他一般公共服务支出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18125.0%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18125.0%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科目调整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2019999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其他一般公共服务支出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国防支出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国防动员</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2030608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边海防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2030699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其他国防动员支出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公共安全支出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42797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41630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41630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武装警察部队</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武装警察部队</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其他武装警察部队支出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公安</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29037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28229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28229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15632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14975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14975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2040202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2683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5883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5883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2040219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信息化建设</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4461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2492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2492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2040220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执法办案</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1891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1891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2040221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特别业务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2040250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2040299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其他公安支出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5633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检察</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3940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2040401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3119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3063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3063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2040402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2040450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2040499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其他检察支出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法院</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6304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6063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6063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2040501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4134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3967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3967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2040502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2040550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2040599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其他法院支出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司法</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1762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2040601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2040602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2040604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基层司法业务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2040605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普法宣传</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2040607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法律援助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2040610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社区矫正</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2040650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2040699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其他司法支出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其他公共安全支出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1406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2049901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其他公共安全支出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1406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教育支出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90013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91500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教育管理事务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4526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8201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8201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其他教育管理事务支出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1946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5556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5556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普通教育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75499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78000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学前教育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8702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2050202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小学教育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36654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41700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36700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2050203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初中教育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19811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20000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2050204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高中教育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5519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2050299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其他普通教育支出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职业教育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3553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3770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3770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2050302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中等职业教育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3548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3770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3770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2050399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其他职业教育支出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特殊教育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2050799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其他特殊教育支出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教育费附加安排的支出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5841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5841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2050903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城市中小学校舍建设</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2050999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其他教育费附加安排的支出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4763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4763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其他教育支出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2059999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其他教育支出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科学技术支出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25177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29200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27700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科学技术管理事务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3139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4133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4133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2776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2776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975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975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其他科学技术管理事务支出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技术研究与开发</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19592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20974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20974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2060402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应用技术研究与开发</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2060499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其他技术研究与开发支出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19195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20524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20524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社会科学</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2060602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社会科学研究</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科学技术普及</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2060701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机构运行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2060702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科普活动</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2060799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其他科学技术普及支出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其他科学技术支出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78.9%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2069901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科技奖励</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1215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2069999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其他科学技术支出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文化旅游体育与传媒支出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7369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文化和旅游</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4515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4694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4694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1031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1031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2070104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图书馆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798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2070109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群众文化</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2070111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文化创作与保护</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2070112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文化和旅游市场管理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2070114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旅游行业业务管理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其他文化和旅游支出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2391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文物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2070204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文物保护</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2070205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博物馆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体育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2070301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2070304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运动项目管理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2070305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体育竞赛</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2070306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体育训练</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2070307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体育场馆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2070308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群众体育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2070309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体育交流与合作</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2070399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其他体育支出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新闻出版电影</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2070699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其他新闻出版电影支出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广播电视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2070804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广播</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其他文化体育与传媒支出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1371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1356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1356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2079999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其他文化体育与传媒支出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1371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1356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1356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社会保障和就业支出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26568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32808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27973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人力资源和社会保障管理事务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3750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3812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3212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区医保局单设科目调整至卫生健康支出、街道人员及运转经费科目调整至一般公共服务支出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3210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793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2080103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机关服务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2080106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就业管理事务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2080108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信息化建设</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2080109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社会保险经办机构</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其他人力资源和社会保障管理事务支出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民政管理事务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3485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3630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3630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1489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2080202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2080206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社会组织管理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2080207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行政区划和地名管理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2080208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基层政权和社区建设</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1565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1565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2080299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其他民政管理事务支出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行政事业单位离退休</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8588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9027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9027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2080505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机关事业单位基本养老保险缴费支出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5925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6012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6012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2080506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机关事业单位职业年金缴费支出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2658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2080599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其他行政事业单位离退休支出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就业补助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4325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5991.5%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2080799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其他就业补助支出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4325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抚恤</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1792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1814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2080801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死亡抚恤</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2080803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在乡复员、退伍军人生活补助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2080805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义务兵优待</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570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570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2080899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其他优抚支出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1157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退役安置</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2080901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退役士兵安置</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2080904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退役士兵管理教育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社会福利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1224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1584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1584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2081001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儿童福利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2081002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老年福利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2081004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殡葬</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2081005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社会福利事业单位</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2081099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其他社会福利支出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残疾人事业</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2830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3026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3026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2081104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残疾人康复</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2081105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残疾人就业和扶贫</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2081107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残疾人生活和护理补贴</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1060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其他残疾人事业支出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红十字事业</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2081601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2081602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最低生活保障</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科目调整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2081902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农村最低生活保障金支出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2039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2081901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城市最低生活保障金支出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20820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临时救助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2082001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临时救助支出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20821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特困人员救助供养</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160.9%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160.9%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2082102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农村特困人员救助供养支出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20825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其他生活救助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2082502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其他农村生活救助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20828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退役军人管理事务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10.3%</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2082801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2082802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2082804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拥军优属</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2082850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2082899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其他退役军人事务管理支出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其他社会保障和就业支出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1534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1636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1636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2089901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其他社会保障和就业支出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1534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1636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1636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卫生健康支出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39296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41675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37600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街道科目调整至一般公共服务支出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卫生健康管理事务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4651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2865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-38.4%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2865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-38.4%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3920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2065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2065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676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676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其他卫生健康管理事务支出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公立医院</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5406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综合医院</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5140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2100299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其他公立医院支出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基层医疗卫生机构</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5763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5763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2100301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城市社区卫生机构</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4156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4463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4463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2100399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其他基层医疗卫生机构支出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1235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公共卫生</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6376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9874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54.9%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5799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2100401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疾病预防控制机构</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1097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1047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2100402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卫生监督机构</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1097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2100403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妇幼保健机构</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2100408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基本公共卫生服务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1711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2793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2428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2100409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重大公共卫生专项</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1043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2100410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突发公共卫生事件应急处理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777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2100499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其他公共卫生支出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中医药</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2100601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中医(民族医)药专项</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1683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计划生育事务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1861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1608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1608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2100716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计划生育机构</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2100717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计划生育服务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1810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2100799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其他计划生育事务支出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5"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行政事业单位医疗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3479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3890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3890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行政单位医疗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3065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3440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事业单位医疗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财政对基本医疗保险基金的补助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9229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9902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2101202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财政对城乡居民基本医疗保险基金的补助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9229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9902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医疗救助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2101301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城乡医疗救助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优抚对象医疗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2101401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优抚对象医疗补助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医疗保障管理事务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475.6%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475.6%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2101501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2101502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2101506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医疗保障经办事务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老龄卫生健康事务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2101601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老龄卫生健康事务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其他卫生健康支出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2109901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其他卫生健康支出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节能环保支出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11608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环境保护管理事务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2522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2522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2730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2110102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环境监测与监察</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160.7%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160.7%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2110203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建设项目环评审查与监督</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2110299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其他环境监测与监察支出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污染防治</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7831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3276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3276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部门水体支出调整至政府性基金支出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2110301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大气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2110302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水体</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7743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2110304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固体废弃物与化学品</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自然生态保护</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2110401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生态保护</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21111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污染减排</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2111103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减排专项支出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21114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能源管理事务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2111499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其他能源管理事务支出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其他节能环保支出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2119901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其他节能环保支出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城乡社区支出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38355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48400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38400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城乡社区管理事务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9691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8765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8765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7617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2120102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2120104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城管执法</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916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其他城乡社区管理事务支出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城乡社区规划与管理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2120201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城乡社区规划与管理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城乡社区公共设施</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4870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15445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217.1%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5445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2120399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其他城乡社区公共设施支出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4870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15445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5445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城乡社区环境卫生</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14860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17635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17635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2120501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城乡社区环境卫生</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14860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17635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17635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其他城乡社区支出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2129901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其他城乡社区支出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农林水支出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10978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27000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145.9%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26760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143.8%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省补水利建设与发展专项资金18640万元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农业农村</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8195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5482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5242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2524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2796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2796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1037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1037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1591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科技转化与推广服务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病虫害控制</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1133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2130109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农产品质量安全</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2130110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执法监管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2130112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行业业务管理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2130120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稳定农民收入补贴</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2130122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农业生产发展</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2130124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农村合作经济</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2130148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成品油价格改革对渔业的补贴</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其他农业支出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2257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林业和草原</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-33.3%</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2130207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森林资源管理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2130209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森林生态效益补偿</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2130221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产业化管理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2130234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防灾减灾</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2130299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其他林业和草原支出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水利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1757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18806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970.3%</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18806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970.3%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1020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水利行业业务管理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水利工程建设</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18650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18650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水利工程运行与维护</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水利前期工作</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2130311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水资源节约管理与保护</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2130312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水质监测</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2130313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水文测报</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2130314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防汛</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2130321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大中型水库移民后期扶持专项支出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2130334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水利建设移民支出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2130399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其他水利支出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扶贫</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57.4%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57.4%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2130599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其他扶贫支出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9"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农业综合开发</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2130699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其他农业综合开发支出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农村综合改革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577.7%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2067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577.7%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科目调整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2130701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对村级一事一议的补助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2130705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对村民委员会和村党支部的补助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1762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1762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2130799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其他农村综合改革支出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普惠金融发展支出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2130803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农业保险保费补贴</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其他农林水支出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2139999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其他农林水支出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交通运输支出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4959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公路水路运输</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4820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4360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2140102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2140106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公路养护</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871</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2140112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公路运输管理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其他公路水路运输支出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3521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成品油价格改革对交通运输的补贴</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2140401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对城市公交的补贴</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车辆购置税支出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2140601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车辆购置税用于公路等基础设施建设支出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2140602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车辆购置税用于农村公路建设支出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资源勘探信息等支出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4816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工业和信息产业监管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3542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2150501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1042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1042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2150502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2150509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工业和信息产业战略研究与标准制定</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2150510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工业和信息产业支持</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2343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1574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1574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2150599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其他工业和信息产业监管支出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21508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支持中小企业发展和管理支出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2150805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中小企业发展专项</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1274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商业服务业等支出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2086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商业流通事务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467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2160201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2160202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2160299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其他商业流通事务支出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涉外发展服务支出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1444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1533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1533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2160699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其他涉外发展服务支出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1444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1533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1533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其他商业服务业等支出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2169999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其他商业服务业等支出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金融支出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21701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金融部门行政支出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2170102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21703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金融发展支出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2170399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其他金融发展支出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援助其他地区支出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21999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1179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自然资源海洋气象等支出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4081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自然资源事务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3817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-79.8%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2200106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自然资源利用与保护</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3425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2200109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自然资源调查与确权登记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2200150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其他自然资源事务支出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海洋管理事务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2200299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其他海洋管理事务支出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住房保障支出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13686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保障性安居工程支出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12691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7413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7413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2210103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棚户区改造</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12503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7285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7285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2210107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保障性住房租金补贴</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其他保障性安居工程支出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住房改革支出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974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7587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679.0%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7587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679.0%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2210201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住房公积金</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7477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7477</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2210203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购房补贴</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城乡社区住宅</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2210399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其他城乡社区住宅支出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灾害防治及应急管理支出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3629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3700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应急管理事务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999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1738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2240101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790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790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2240106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安全监管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2240107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安全生产基础</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2240150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事业运行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2240199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其他应急管理支出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消防事务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2583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2583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2240201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2240204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消防应急救援</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2240299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其他消防事务支出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1623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1623</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自然灾害防治</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2240601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地质灾害防治</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84</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自然灾害救灾及恢复重建支出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2240701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中央自然灾害生活补助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科目编码</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科目名称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剔除2020年不可比因素</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2240702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地方自然灾害生活补助</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预备费</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22700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预备费</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22999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其他支出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2299901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 xml:space="preserve">  债务付息支出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5233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5306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5306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23203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地方政府一般债务付息支出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5233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5306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5306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2320301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地方政府一般债券付息支出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5233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5306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5306</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2466"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127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039"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79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173"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95"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49" w:type="dxa"/>
            <w:shd w:val="clear" w:color="auto" w:fill="auto"/>
          </w:tcPr>
          <w:p>
            <w:pPr>
              <w:jc w:val="both"/>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2466"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127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039"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79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173"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95"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49" w:type="dxa"/>
            <w:shd w:val="clear" w:color="auto" w:fill="auto"/>
          </w:tcPr>
          <w:p>
            <w:pPr>
              <w:jc w:val="both"/>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2466"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127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039"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79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173"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95"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49" w:type="dxa"/>
            <w:shd w:val="clear" w:color="auto" w:fill="auto"/>
          </w:tcPr>
          <w:p>
            <w:pPr>
              <w:jc w:val="both"/>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2466"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127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039"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79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173"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95"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49" w:type="dxa"/>
            <w:shd w:val="clear" w:color="auto" w:fill="auto"/>
          </w:tcPr>
          <w:p>
            <w:pPr>
              <w:jc w:val="both"/>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2466"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127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039"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79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173"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95"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49" w:type="dxa"/>
            <w:shd w:val="clear" w:color="auto" w:fill="auto"/>
          </w:tcPr>
          <w:p>
            <w:pPr>
              <w:jc w:val="both"/>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2466"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127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039"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79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173"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95"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49" w:type="dxa"/>
            <w:shd w:val="clear" w:color="auto" w:fill="auto"/>
          </w:tcPr>
          <w:p>
            <w:pPr>
              <w:jc w:val="both"/>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5"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2466" w:type="dxa"/>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p>
        </w:tc>
        <w:tc>
          <w:tcPr>
            <w:tcW w:w="127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039"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797"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1173"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95" w:type="dxa"/>
            <w:shd w:val="clear" w:color="auto" w:fill="auto"/>
            <w:vAlign w:val="center"/>
          </w:tcPr>
          <w:p>
            <w:pPr>
              <w:rPr>
                <w:rFonts w:hint="eastAsia" w:asciiTheme="minorEastAsia" w:hAnsiTheme="minorEastAsia" w:eastAsiaTheme="minorEastAsia" w:cstheme="minorEastAsia"/>
                <w:i w:val="0"/>
                <w:color w:val="auto"/>
                <w:sz w:val="20"/>
                <w:szCs w:val="20"/>
                <w:highlight w:val="none"/>
                <w:u w:val="none"/>
              </w:rPr>
            </w:pPr>
          </w:p>
        </w:tc>
        <w:tc>
          <w:tcPr>
            <w:tcW w:w="949" w:type="dxa"/>
            <w:shd w:val="clear" w:color="auto" w:fill="auto"/>
          </w:tcPr>
          <w:p>
            <w:pPr>
              <w:jc w:val="both"/>
              <w:rPr>
                <w:rFonts w:hint="eastAsia" w:asciiTheme="minorEastAsia" w:hAnsiTheme="minorEastAsia" w:eastAsiaTheme="minorEastAsia" w:cstheme="minorEastAsia"/>
                <w:i w:val="0"/>
                <w:color w:val="auto"/>
                <w:sz w:val="20"/>
                <w:szCs w:val="20"/>
                <w:highlight w:val="none"/>
                <w:u w:val="none"/>
              </w:rPr>
            </w:pPr>
          </w:p>
        </w:tc>
      </w:tr>
    </w:tbl>
    <w:p>
      <w:pPr>
        <w:keepNext w:val="0"/>
        <w:keepLines w:val="0"/>
        <w:pageBreakBefore w:val="0"/>
        <w:kinsoku/>
        <w:wordWrap/>
        <w:overflowPunct/>
        <w:topLinePunct w:val="0"/>
        <w:autoSpaceDE/>
        <w:autoSpaceDN/>
        <w:bidi w:val="0"/>
        <w:spacing w:line="560" w:lineRule="exact"/>
        <w:jc w:val="center"/>
        <w:textAlignment w:val="auto"/>
        <w:rPr>
          <w:rFonts w:hint="eastAsia" w:eastAsia="宋体"/>
          <w:color w:val="auto"/>
          <w:highlight w:val="none"/>
          <w:lang w:eastAsia="zh-CN"/>
        </w:rPr>
      </w:pPr>
      <w:r>
        <w:rPr>
          <w:rFonts w:hint="eastAsia"/>
          <w:color w:val="auto"/>
          <w:highlight w:val="none"/>
          <w:lang w:val="en-US" w:eastAsia="zh-CN"/>
        </w:rPr>
        <w:t xml:space="preserve">                                                                     </w:t>
      </w: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6"/>
        <w:tblW w:w="91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768"/>
        <w:gridCol w:w="2046"/>
        <w:gridCol w:w="2115"/>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9119" w:type="dxa"/>
            <w:gridSpan w:val="4"/>
            <w:shd w:val="clear" w:color="auto" w:fill="auto"/>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附件17：</w:t>
            </w:r>
          </w:p>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highlight w:val="none"/>
                <w:u w:val="none"/>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2020年龙湾区本级一般公共预算（平衡）草案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bottom w:val="single" w:color="000000" w:sz="4" w:space="0"/>
            </w:tcBorders>
            <w:shd w:val="clear" w:color="auto" w:fill="auto"/>
            <w:vAlign w:val="center"/>
          </w:tcPr>
          <w:p>
            <w:pPr>
              <w:jc w:val="right"/>
              <w:rPr>
                <w:rFonts w:hint="eastAsia" w:ascii="宋体" w:hAnsi="宋体" w:eastAsia="宋体" w:cs="宋体"/>
                <w:i w:val="0"/>
                <w:color w:val="auto"/>
                <w:sz w:val="22"/>
                <w:szCs w:val="22"/>
                <w:highlight w:val="none"/>
                <w:u w:val="none"/>
              </w:rPr>
            </w:pPr>
          </w:p>
        </w:tc>
        <w:tc>
          <w:tcPr>
            <w:tcW w:w="2046" w:type="dxa"/>
            <w:tcBorders>
              <w:bottom w:val="single" w:color="000000" w:sz="4" w:space="0"/>
            </w:tcBorders>
            <w:shd w:val="clear" w:color="auto" w:fill="auto"/>
            <w:vAlign w:val="center"/>
          </w:tcPr>
          <w:p>
            <w:pPr>
              <w:rPr>
                <w:rFonts w:hint="eastAsia" w:ascii="宋体" w:hAnsi="宋体" w:eastAsia="宋体" w:cs="宋体"/>
                <w:i w:val="0"/>
                <w:color w:val="auto"/>
                <w:sz w:val="22"/>
                <w:szCs w:val="22"/>
                <w:highlight w:val="none"/>
                <w:u w:val="none"/>
              </w:rPr>
            </w:pPr>
          </w:p>
        </w:tc>
        <w:tc>
          <w:tcPr>
            <w:tcW w:w="2115" w:type="dxa"/>
            <w:tcBorders>
              <w:bottom w:val="single" w:color="000000" w:sz="4" w:space="0"/>
            </w:tcBorders>
            <w:shd w:val="clear" w:color="auto" w:fill="auto"/>
            <w:vAlign w:val="center"/>
          </w:tcPr>
          <w:p>
            <w:pPr>
              <w:rPr>
                <w:rFonts w:hint="eastAsia" w:ascii="宋体" w:hAnsi="宋体" w:eastAsia="宋体" w:cs="宋体"/>
                <w:i w:val="0"/>
                <w:color w:val="auto"/>
                <w:sz w:val="22"/>
                <w:szCs w:val="22"/>
                <w:highlight w:val="none"/>
                <w:u w:val="none"/>
              </w:rPr>
            </w:pPr>
          </w:p>
        </w:tc>
        <w:tc>
          <w:tcPr>
            <w:tcW w:w="2190" w:type="dxa"/>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项目</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2019年执行数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2020年预算数</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一、收入合计</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539837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589427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（一）一般公共预算收入</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321631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347361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（二）转移性收入等</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218206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242066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1、上级税收返还收入</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9454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9454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2、上级转移支付收入（含体制结算补助）</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87125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90000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3、地方政府一般债务转贷收入</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15000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4、调入资金</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87354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114381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其中:从政府性基金预算调入</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86657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114381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从其他资金调入</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697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5、动用预算稳定调节基金</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6417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5、使用结转资金</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27856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11027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二、支出合计</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539837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589427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（一）一般公共预算支出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399982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442485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（二）转移性支出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139855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146942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1、上解上级支出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124494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132000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2、援助其他地区支出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2130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2565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3、安排预算稳定调节基金</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2204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4、地方政府一般债务还本支出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5、年终结转</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11027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12377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12.2%</w:t>
            </w:r>
          </w:p>
        </w:tc>
      </w:tr>
    </w:tbl>
    <w:p>
      <w:pPr>
        <w:keepNext w:val="0"/>
        <w:keepLines w:val="0"/>
        <w:widowControl/>
        <w:suppressLineNumbers w:val="0"/>
        <w:jc w:val="center"/>
        <w:textAlignment w:val="center"/>
        <w:rPr>
          <w:color w:val="auto"/>
          <w:highlight w:val="none"/>
        </w:rPr>
      </w:pPr>
      <w:r>
        <w:rPr>
          <w:color w:val="auto"/>
          <w:highlight w:val="none"/>
        </w:rPr>
        <w:br w:type="page"/>
      </w:r>
    </w:p>
    <w:tbl>
      <w:tblPr>
        <w:tblStyle w:val="6"/>
        <w:tblW w:w="8775" w:type="dxa"/>
        <w:tblInd w:w="3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34"/>
        <w:gridCol w:w="461"/>
        <w:gridCol w:w="54"/>
        <w:gridCol w:w="1513"/>
        <w:gridCol w:w="429"/>
        <w:gridCol w:w="1056"/>
        <w:gridCol w:w="495"/>
        <w:gridCol w:w="270"/>
        <w:gridCol w:w="1890"/>
        <w:gridCol w:w="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73" w:type="dxa"/>
          <w:trHeight w:val="90" w:hRule="atLeast"/>
        </w:trPr>
        <w:tc>
          <w:tcPr>
            <w:tcW w:w="8702" w:type="dxa"/>
            <w:gridSpan w:val="9"/>
            <w:shd w:val="clear" w:color="auto" w:fill="auto"/>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附件18：</w:t>
            </w:r>
          </w:p>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highlight w:val="none"/>
                <w:u w:val="none"/>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2020年龙湾区</w:t>
            </w: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本级</w:t>
            </w: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一般公共预算基本支出预算（草案）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420" w:hRule="atLeast"/>
        </w:trPr>
        <w:tc>
          <w:tcPr>
            <w:tcW w:w="3049" w:type="dxa"/>
            <w:gridSpan w:val="3"/>
            <w:tcBorders>
              <w:bottom w:val="single" w:color="000000" w:sz="4" w:space="0"/>
            </w:tcBorders>
            <w:shd w:val="clear" w:color="auto" w:fill="auto"/>
            <w:vAlign w:val="center"/>
          </w:tcPr>
          <w:p>
            <w:pPr>
              <w:jc w:val="center"/>
              <w:rPr>
                <w:rFonts w:hint="default" w:ascii="方正小标宋简体" w:hAnsi="方正小标宋简体" w:eastAsia="方正小标宋简体" w:cs="方正小标宋简体"/>
                <w:i w:val="0"/>
                <w:color w:val="auto"/>
                <w:sz w:val="32"/>
                <w:szCs w:val="32"/>
                <w:highlight w:val="none"/>
                <w:u w:val="none"/>
              </w:rPr>
            </w:pPr>
          </w:p>
        </w:tc>
        <w:tc>
          <w:tcPr>
            <w:tcW w:w="1942" w:type="dxa"/>
            <w:gridSpan w:val="2"/>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1821" w:type="dxa"/>
            <w:gridSpan w:val="3"/>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1890" w:type="dxa"/>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项目</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2019年执行数</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2020年预算数</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一、机关工资福利支出</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88585</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89200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工资奖金津补贴</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51197</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49000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社会保障缴费</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11798</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12000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住房公积金</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6095</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6200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其他工资福利支出</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19495</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22000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二、机关商品和服务支出</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6099</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5964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办公经费</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3792</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3600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会议费</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培训费</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53</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53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专用材料购置费</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4</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委托业务费</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1210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1250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公务接待费</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29</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30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因公出国（境）费用</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23</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公务用车运行维护费</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408</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410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维修（护）费</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98</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其他商品和服务支出</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480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490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三、机关资本性支出</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213</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220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400"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设备购置</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213</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220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90"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四、对事业单位经常性补助</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119288</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120535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工资福利支出</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111708</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113035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商品服务支出</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7580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7500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五、对事业单位资本性补助</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296</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300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资本性支出</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296</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300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六、对企业补助</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其他对企业补助</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七、对个人和家庭的补助</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1431</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1445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社会福利和救助</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364</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370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离退休费</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214</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215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其他对个人和家庭的补助</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853</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860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3" w:type="dxa"/>
          <w:trHeight w:val="286"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支出合计</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215912</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217664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default" w:asciiTheme="minorEastAsia" w:hAnsiTheme="minorEastAsia" w:eastAsiaTheme="minorEastAsia" w:cstheme="minorEastAsia"/>
                <w:i w:val="0"/>
                <w:color w:val="auto"/>
                <w:kern w:val="0"/>
                <w:sz w:val="20"/>
                <w:szCs w:val="20"/>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6" w:hRule="atLeast"/>
        </w:trPr>
        <w:tc>
          <w:tcPr>
            <w:tcW w:w="8775" w:type="dxa"/>
            <w:gridSpan w:val="10"/>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附件19：</w:t>
            </w: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2020年龙湾区一般公共预算税收返还和转移支付</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创艺简标宋" w:hAnsi="创艺简标宋" w:eastAsia="创艺简标宋" w:cs="创艺简标宋"/>
                <w:i w:val="0"/>
                <w:color w:val="auto"/>
                <w:sz w:val="36"/>
                <w:szCs w:val="36"/>
                <w:highlight w:val="none"/>
                <w:u w:val="none"/>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分地区预算（草案）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995" w:type="dxa"/>
            <w:gridSpan w:val="2"/>
            <w:tcBorders>
              <w:bottom w:val="single" w:color="000000" w:sz="4" w:space="0"/>
            </w:tcBorders>
            <w:shd w:val="clear" w:color="auto" w:fill="auto"/>
            <w:vAlign w:val="center"/>
          </w:tcPr>
          <w:p>
            <w:pPr>
              <w:jc w:val="both"/>
              <w:rPr>
                <w:rFonts w:hint="eastAsia" w:ascii="宋体" w:hAnsi="宋体" w:eastAsia="宋体" w:cs="宋体"/>
                <w:i w:val="0"/>
                <w:color w:val="auto"/>
                <w:sz w:val="22"/>
                <w:szCs w:val="22"/>
                <w:highlight w:val="none"/>
                <w:u w:val="none"/>
              </w:rPr>
            </w:pPr>
          </w:p>
        </w:tc>
        <w:tc>
          <w:tcPr>
            <w:tcW w:w="3052" w:type="dxa"/>
            <w:gridSpan w:val="4"/>
            <w:tcBorders>
              <w:bottom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2728" w:type="dxa"/>
            <w:gridSpan w:val="4"/>
            <w:tcBorders>
              <w:bottom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w:t>
            </w: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 xml:space="preserve"> </w:t>
            </w: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highlight w:val="none"/>
                <w:u w:val="none"/>
              </w:rPr>
            </w:pPr>
            <w:r>
              <w:rPr>
                <w:rFonts w:hint="eastAsia" w:ascii="宋体" w:hAnsi="宋体" w:eastAsia="宋体" w:cs="宋体"/>
                <w:b/>
                <w:bCs/>
                <w:i w:val="0"/>
                <w:color w:val="auto"/>
                <w:kern w:val="0"/>
                <w:sz w:val="20"/>
                <w:szCs w:val="20"/>
                <w:highlight w:val="none"/>
                <w:u w:val="none"/>
                <w:lang w:val="en-US" w:eastAsia="zh-CN" w:bidi="ar"/>
              </w:rPr>
              <w:t>项      目</w:t>
            </w:r>
          </w:p>
        </w:tc>
        <w:tc>
          <w:tcPr>
            <w:tcW w:w="30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highlight w:val="none"/>
                <w:u w:val="none"/>
              </w:rPr>
            </w:pPr>
            <w:r>
              <w:rPr>
                <w:rFonts w:hint="eastAsia" w:ascii="宋体" w:hAnsi="宋体" w:eastAsia="宋体" w:cs="宋体"/>
                <w:b/>
                <w:bCs/>
                <w:i w:val="0"/>
                <w:color w:val="auto"/>
                <w:kern w:val="0"/>
                <w:sz w:val="20"/>
                <w:szCs w:val="20"/>
                <w:highlight w:val="none"/>
                <w:u w:val="none"/>
                <w:lang w:val="en-US" w:eastAsia="zh-CN" w:bidi="ar"/>
              </w:rPr>
              <w:t>2019年执行数</w:t>
            </w:r>
          </w:p>
        </w:tc>
        <w:tc>
          <w:tcPr>
            <w:tcW w:w="27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highlight w:val="none"/>
                <w:u w:val="none"/>
              </w:rPr>
            </w:pPr>
            <w:r>
              <w:rPr>
                <w:rFonts w:hint="eastAsia" w:ascii="宋体" w:hAnsi="宋体" w:eastAsia="宋体" w:cs="宋体"/>
                <w:b/>
                <w:bCs/>
                <w:i w:val="0"/>
                <w:color w:val="auto"/>
                <w:kern w:val="0"/>
                <w:sz w:val="20"/>
                <w:szCs w:val="20"/>
                <w:highlight w:val="none"/>
                <w:u w:val="none"/>
                <w:lang w:val="en-US" w:eastAsia="zh-CN" w:bidi="ar"/>
              </w:rPr>
              <w:t>2020年预算数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一、税收返还支出</w:t>
            </w:r>
          </w:p>
        </w:tc>
        <w:tc>
          <w:tcPr>
            <w:tcW w:w="30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27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二、一般性转移支付</w:t>
            </w:r>
          </w:p>
        </w:tc>
        <w:tc>
          <w:tcPr>
            <w:tcW w:w="30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27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三、专项转移支付</w:t>
            </w:r>
          </w:p>
        </w:tc>
        <w:tc>
          <w:tcPr>
            <w:tcW w:w="30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27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8775" w:type="dxa"/>
            <w:gridSpan w:val="10"/>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注：因龙湾区下属6个街道，无乡镇，所有支出均列为本级支出，无转移到下级支出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8775" w:type="dxa"/>
            <w:gridSpan w:val="10"/>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32" w:hRule="atLeast"/>
        </w:trPr>
        <w:tc>
          <w:tcPr>
            <w:tcW w:w="8775" w:type="dxa"/>
            <w:gridSpan w:val="10"/>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附件20：</w:t>
            </w:r>
          </w:p>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bookmarkStart w:id="0" w:name="_GoBack"/>
            <w:bookmarkEnd w:id="0"/>
          </w:p>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highlight w:val="none"/>
                <w:u w:val="none"/>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2020年龙湾区政府性基金收入预算（草案）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bottom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2028" w:type="dxa"/>
            <w:gridSpan w:val="3"/>
            <w:tcBorders>
              <w:bottom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1980" w:type="dxa"/>
            <w:gridSpan w:val="3"/>
            <w:tcBorders>
              <w:bottom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2233" w:type="dxa"/>
            <w:gridSpan w:val="3"/>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项目</w:t>
            </w:r>
          </w:p>
        </w:tc>
        <w:tc>
          <w:tcPr>
            <w:tcW w:w="20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2019年执行数</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2020年预算数</w:t>
            </w:r>
          </w:p>
        </w:tc>
        <w:tc>
          <w:tcPr>
            <w:tcW w:w="2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政府性基金收入合计</w:t>
            </w:r>
          </w:p>
        </w:tc>
        <w:tc>
          <w:tcPr>
            <w:tcW w:w="20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542386</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984950</w:t>
            </w:r>
          </w:p>
        </w:tc>
        <w:tc>
          <w:tcPr>
            <w:tcW w:w="2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一、 国有土地使用权出让收入</w:t>
            </w:r>
          </w:p>
        </w:tc>
        <w:tc>
          <w:tcPr>
            <w:tcW w:w="20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440219</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940000</w:t>
            </w:r>
          </w:p>
        </w:tc>
        <w:tc>
          <w:tcPr>
            <w:tcW w:w="2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二、 城市基础设施配套费收入</w:t>
            </w:r>
          </w:p>
        </w:tc>
        <w:tc>
          <w:tcPr>
            <w:tcW w:w="20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2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三、污水处理费收入</w:t>
            </w:r>
          </w:p>
        </w:tc>
        <w:tc>
          <w:tcPr>
            <w:tcW w:w="20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4188</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2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四、彩票公益金收入</w:t>
            </w:r>
          </w:p>
        </w:tc>
        <w:tc>
          <w:tcPr>
            <w:tcW w:w="20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259</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320</w:t>
            </w:r>
          </w:p>
        </w:tc>
        <w:tc>
          <w:tcPr>
            <w:tcW w:w="2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1" w:hRule="atLeast"/>
        </w:trPr>
        <w:tc>
          <w:tcPr>
            <w:tcW w:w="2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五、彩票发行机构和彩票销售机构的业务费</w:t>
            </w:r>
          </w:p>
        </w:tc>
        <w:tc>
          <w:tcPr>
            <w:tcW w:w="20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122</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130</w:t>
            </w:r>
          </w:p>
        </w:tc>
        <w:tc>
          <w:tcPr>
            <w:tcW w:w="2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六、其他政府性基金收入</w:t>
            </w:r>
          </w:p>
        </w:tc>
        <w:tc>
          <w:tcPr>
            <w:tcW w:w="20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97598</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40000</w:t>
            </w:r>
          </w:p>
        </w:tc>
        <w:tc>
          <w:tcPr>
            <w:tcW w:w="2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-59.0%</w:t>
            </w:r>
          </w:p>
        </w:tc>
      </w:tr>
    </w:tbl>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附件21：</w:t>
      </w:r>
    </w:p>
    <w:p>
      <w:pPr>
        <w:keepNext w:val="0"/>
        <w:keepLines w:val="0"/>
        <w:pageBreakBefore w:val="0"/>
        <w:kinsoku/>
        <w:wordWrap/>
        <w:overflowPunct/>
        <w:topLinePunct w:val="0"/>
        <w:autoSpaceDE/>
        <w:autoSpaceDN/>
        <w:bidi w:val="0"/>
        <w:spacing w:line="560" w:lineRule="exact"/>
        <w:ind w:firstLine="1080" w:firstLineChars="300"/>
        <w:textAlignment w:val="auto"/>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pageBreakBefore w:val="0"/>
        <w:kinsoku/>
        <w:wordWrap/>
        <w:overflowPunct/>
        <w:topLinePunct w:val="0"/>
        <w:autoSpaceDE/>
        <w:autoSpaceDN/>
        <w:bidi w:val="0"/>
        <w:spacing w:line="560" w:lineRule="exact"/>
        <w:ind w:firstLine="1080" w:firstLineChars="300"/>
        <w:textAlignment w:val="auto"/>
        <w:rPr>
          <w:rFonts w:hint="eastAsia" w:ascii="仿宋_GB2312" w:hAnsi="仿宋_GB2312" w:eastAsia="仿宋_GB2312" w:cs="仿宋_GB2312"/>
          <w:color w:val="auto"/>
          <w:sz w:val="36"/>
          <w:szCs w:val="36"/>
          <w:highlight w:val="none"/>
          <w:lang w:eastAsia="zh-CN"/>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2020年龙湾区政府性基金支出预算（草案）</w:t>
      </w:r>
    </w:p>
    <w:p>
      <w:pPr>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20"/>
          <w:szCs w:val="20"/>
          <w:highlight w:val="none"/>
          <w:lang w:val="en-US" w:eastAsia="zh-CN"/>
        </w:rPr>
        <w:t xml:space="preserve"> </w:t>
      </w:r>
      <w:r>
        <w:rPr>
          <w:rFonts w:hint="eastAsia" w:ascii="宋体" w:hAnsi="宋体" w:eastAsia="宋体" w:cs="宋体"/>
          <w:i w:val="0"/>
          <w:color w:val="auto"/>
          <w:kern w:val="0"/>
          <w:sz w:val="20"/>
          <w:szCs w:val="20"/>
          <w:highlight w:val="none"/>
          <w:u w:val="none"/>
          <w:lang w:val="en-US" w:eastAsia="zh-CN" w:bidi="ar"/>
        </w:rPr>
        <w:t>单位：万元</w:t>
      </w:r>
    </w:p>
    <w:tbl>
      <w:tblPr>
        <w:tblStyle w:val="6"/>
        <w:tblW w:w="93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59"/>
        <w:gridCol w:w="1682"/>
        <w:gridCol w:w="1513"/>
        <w:gridCol w:w="1430"/>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项目</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2019年执行数</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2020年预算数</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政府性基金预算支出合计</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829704</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1160245</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39.8%</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一、文化旅游体育与传媒支出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旅游发展基金支出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二、社会保障和就业支出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616</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630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大中型移民后期扶持基金支出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587</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移民补助</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268</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基础设施建设和经济发展</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319</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330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小型水库移民扶助基金安排的支出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基础设施建设和经济发展</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三、城乡社区支出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768102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1093200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42.3%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国有土地使用权出让收入及对应专项债务收入安排的支出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611007</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1065500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征地和拆迁补偿支出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507668</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970500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土地开发支出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74261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75000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补助被征地农民支出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其他国有土地使用权出让收入安排的支出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19078</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城市基础设施配套费安排的支出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2970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3200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7.7%</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城市公共设施</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2827</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3050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其他城市基础设施配套费安排的支出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143</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污水处理费安排的支出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9.1%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污水处理设施建设和运营</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土地储备专项债券收入安排的支出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150000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-86.7%</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征地和拆迁补偿支出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150000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四、其他支出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50532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41290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其他政府性基金及对应专项债务收入安排的支出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49330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-18.9%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项目</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2019年执行数</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2020年预算数</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0"/>
                <w:szCs w:val="20"/>
                <w:highlight w:val="none"/>
                <w:u w:val="none"/>
                <w:lang w:val="en-US" w:eastAsia="zh-CN" w:bidi="ar-SA"/>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其他政府性基金安排的支出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49330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彩票发行销售机构业务费安排的支出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福利彩票销售机构的业务费支出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90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2" w:firstLineChars="20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彩票公益金及对应专项债务收入安排的支出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1117</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7.4%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用于社会福利的彩票公益金支出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490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564</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用于体育事业的彩票公益金支出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596</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600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用于教育事业的彩票公益金支出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用于残疾人事业的彩票公益金支出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用于城乡医疗救助的彩票公益金支出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五、债务付息支出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10284</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143.1%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地方政府专项债务付息支出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10284</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25000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143.1%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国有土地使用权出让金债务付息支出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8814</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23500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土地储备专项债券付息支出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1470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1500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六、债务发行费用支出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地方政府专项债务发行费用支出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-27.3%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国有土地使用权出让金债务发行费用支出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120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bl>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tbl>
      <w:tblPr>
        <w:tblStyle w:val="6"/>
        <w:tblpPr w:leftFromText="180" w:rightFromText="180" w:vertAnchor="text" w:horzAnchor="page" w:tblpX="1117" w:tblpY="-4261"/>
        <w:tblOverlap w:val="never"/>
        <w:tblW w:w="92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75"/>
        <w:gridCol w:w="3150"/>
        <w:gridCol w:w="3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1" w:hRule="atLeast"/>
        </w:trPr>
        <w:tc>
          <w:tcPr>
            <w:tcW w:w="9248" w:type="dxa"/>
            <w:gridSpan w:val="3"/>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附件22：</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center"/>
              <w:textAlignment w:val="center"/>
              <w:rPr>
                <w:rFonts w:ascii="创艺简标宋" w:hAnsi="创艺简标宋" w:eastAsia="创艺简标宋" w:cs="创艺简标宋"/>
                <w:i w:val="0"/>
                <w:color w:val="auto"/>
                <w:sz w:val="36"/>
                <w:szCs w:val="36"/>
                <w:highlight w:val="none"/>
                <w:u w:val="none"/>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2020年龙湾区政府性基金转移支付预算（草案）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9" w:hRule="atLeast"/>
        </w:trPr>
        <w:tc>
          <w:tcPr>
            <w:tcW w:w="3075" w:type="dxa"/>
            <w:tcBorders>
              <w:bottom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3150" w:type="dxa"/>
            <w:tcBorders>
              <w:bottom w:val="single" w:color="000000" w:sz="4" w:space="0"/>
            </w:tcBorders>
            <w:shd w:val="clear" w:color="auto" w:fill="auto"/>
            <w:vAlign w:val="center"/>
          </w:tcPr>
          <w:p>
            <w:pPr>
              <w:jc w:val="both"/>
              <w:rPr>
                <w:rFonts w:hint="eastAsia" w:ascii="宋体" w:hAnsi="宋体" w:eastAsia="宋体" w:cs="宋体"/>
                <w:i w:val="0"/>
                <w:color w:val="auto"/>
                <w:sz w:val="22"/>
                <w:szCs w:val="22"/>
                <w:highlight w:val="none"/>
                <w:u w:val="none"/>
              </w:rPr>
            </w:pPr>
          </w:p>
        </w:tc>
        <w:tc>
          <w:tcPr>
            <w:tcW w:w="3023" w:type="dxa"/>
            <w:tcBorders>
              <w:bottom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highlight w:val="none"/>
                <w:u w:val="none"/>
              </w:rPr>
            </w:pPr>
            <w:r>
              <w:rPr>
                <w:rFonts w:hint="eastAsia" w:ascii="宋体" w:hAnsi="宋体" w:eastAsia="宋体" w:cs="宋体"/>
                <w:b/>
                <w:bCs/>
                <w:i w:val="0"/>
                <w:color w:val="auto"/>
                <w:kern w:val="0"/>
                <w:sz w:val="20"/>
                <w:szCs w:val="20"/>
                <w:highlight w:val="none"/>
                <w:u w:val="none"/>
                <w:lang w:val="en-US" w:eastAsia="zh-CN" w:bidi="ar"/>
              </w:rPr>
              <w:t>项目</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highlight w:val="none"/>
                <w:u w:val="none"/>
              </w:rPr>
            </w:pPr>
            <w:r>
              <w:rPr>
                <w:rFonts w:hint="eastAsia" w:ascii="宋体" w:hAnsi="宋体" w:eastAsia="宋体" w:cs="宋体"/>
                <w:b/>
                <w:bCs/>
                <w:i w:val="0"/>
                <w:color w:val="auto"/>
                <w:kern w:val="0"/>
                <w:sz w:val="20"/>
                <w:szCs w:val="20"/>
                <w:highlight w:val="none"/>
                <w:u w:val="none"/>
                <w:lang w:val="en-US" w:eastAsia="zh-CN" w:bidi="ar"/>
              </w:rPr>
              <w:t>2019年执行数</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highlight w:val="none"/>
                <w:u w:val="none"/>
              </w:rPr>
            </w:pPr>
            <w:r>
              <w:rPr>
                <w:rFonts w:hint="eastAsia" w:ascii="宋体" w:hAnsi="宋体" w:eastAsia="宋体" w:cs="宋体"/>
                <w:b/>
                <w:bCs/>
                <w:i w:val="0"/>
                <w:color w:val="auto"/>
                <w:kern w:val="0"/>
                <w:sz w:val="20"/>
                <w:szCs w:val="20"/>
                <w:highlight w:val="none"/>
                <w:u w:val="none"/>
                <w:lang w:val="en-US" w:eastAsia="zh-CN" w:bidi="ar"/>
              </w:rPr>
              <w:t>2020年预算数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政府性基金转移支付</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9248" w:type="dxa"/>
            <w:gridSpan w:val="3"/>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注：因龙湾区下属6个街道，无乡镇，所有支出均列为本级支出，无转移到下级支出</w:t>
            </w:r>
            <w:r>
              <w:rPr>
                <w:rFonts w:hint="eastAsia" w:ascii="宋体" w:hAnsi="宋体" w:cs="宋体"/>
                <w:i w:val="0"/>
                <w:color w:val="auto"/>
                <w:kern w:val="0"/>
                <w:sz w:val="22"/>
                <w:szCs w:val="22"/>
                <w:highlight w:val="none"/>
                <w:u w:val="none"/>
                <w:lang w:val="en-US" w:eastAsia="zh-CN" w:bidi="ar"/>
              </w:rPr>
              <w:t>。</w:t>
            </w:r>
          </w:p>
        </w:tc>
      </w:tr>
    </w:tbl>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p>
    <w:tbl>
      <w:tblPr>
        <w:tblStyle w:val="6"/>
        <w:tblpPr w:leftFromText="180" w:rightFromText="180" w:vertAnchor="text" w:horzAnchor="page" w:tblpX="1372" w:tblpY="468"/>
        <w:tblOverlap w:val="never"/>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72"/>
        <w:gridCol w:w="1941"/>
        <w:gridCol w:w="2137"/>
        <w:gridCol w:w="2288"/>
        <w:gridCol w:w="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2" w:hRule="atLeast"/>
        </w:trPr>
        <w:tc>
          <w:tcPr>
            <w:tcW w:w="9570" w:type="dxa"/>
            <w:gridSpan w:val="5"/>
            <w:shd w:val="clear" w:color="auto" w:fill="auto"/>
            <w:vAlign w:val="center"/>
          </w:tcPr>
          <w:p>
            <w:pPr>
              <w:keepNext w:val="0"/>
              <w:keepLines w:val="0"/>
              <w:widowControl/>
              <w:suppressLineNumbers w:val="0"/>
              <w:jc w:val="both"/>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附件23：</w:t>
            </w:r>
          </w:p>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widowControl/>
              <w:suppressLineNumbers w:val="0"/>
              <w:ind w:firstLine="1080" w:firstLineChars="300"/>
              <w:jc w:val="both"/>
              <w:textAlignment w:val="center"/>
              <w:rPr>
                <w:rFonts w:ascii="方正小标宋简体" w:hAnsi="方正小标宋简体" w:eastAsia="方正小标宋简体" w:cs="方正小标宋简体"/>
                <w:i w:val="0"/>
                <w:color w:val="auto"/>
                <w:sz w:val="36"/>
                <w:szCs w:val="36"/>
                <w:highlight w:val="none"/>
                <w:u w:val="none"/>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2020年龙湾区政府性基金预算（平衡）草案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4" w:hRule="atLeast"/>
        </w:trPr>
        <w:tc>
          <w:tcPr>
            <w:tcW w:w="2672" w:type="dxa"/>
            <w:tcBorders>
              <w:bottom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1941" w:type="dxa"/>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2137" w:type="dxa"/>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2288"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单位：万元</w:t>
            </w:r>
          </w:p>
        </w:tc>
        <w:tc>
          <w:tcPr>
            <w:tcW w:w="532" w:type="dxa"/>
            <w:shd w:val="clear" w:color="auto" w:fill="auto"/>
            <w:vAlign w:val="center"/>
          </w:tcPr>
          <w:p>
            <w:pPr>
              <w:jc w:val="center"/>
              <w:rPr>
                <w:rFonts w:hint="eastAsia" w:ascii="宋体" w:hAnsi="宋体" w:eastAsia="宋体" w:cs="宋体"/>
                <w:i w:val="0"/>
                <w:color w:val="auto"/>
                <w:sz w:val="22"/>
                <w:szCs w:val="22"/>
                <w:highlight w:val="none"/>
                <w:u w:val="none"/>
              </w:rPr>
            </w:pPr>
          </w:p>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项目</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2019年执行数</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2020年预算数</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比上年增长</w:t>
            </w: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一、收入合计</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925200</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1274626</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37.8%</w:t>
            </w: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（一）政府性基金收入</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542386</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984950</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81.6%</w:t>
            </w: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（二）转移性收入</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382814</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289676</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-24.3%</w:t>
            </w: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1、上级转移支付收入</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211578</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260837</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23.3%</w:t>
            </w: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2、地方政府专项债务转贷收入</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150000</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20000</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-86.7%</w:t>
            </w: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3、使用结转资金</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21236</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8839</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-58.4%</w:t>
            </w: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二、支出合计</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925200</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1274626</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37.8%</w:t>
            </w: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（一）政府性基金支出</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829704</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1160245</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39.8%</w:t>
            </w: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（二）转移性支出</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95496</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114381</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19.8%</w:t>
            </w: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 政府性基金调出</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86657</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114381</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32.0%</w:t>
            </w: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2、地方政府专项债务转贷支出</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3、结转下年支出</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8839</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p>
        </w:tc>
        <w:tc>
          <w:tcPr>
            <w:tcW w:w="532" w:type="dxa"/>
            <w:tcBorders>
              <w:lef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bl>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附件24：</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2020年龙湾区本级国有资本经营预算（草案）</w:t>
      </w:r>
    </w:p>
    <w:p>
      <w:pPr>
        <w:keepNext w:val="0"/>
        <w:keepLines w:val="0"/>
        <w:pageBreakBefore w:val="0"/>
        <w:kinsoku/>
        <w:wordWrap/>
        <w:overflowPunct/>
        <w:topLinePunct w:val="0"/>
        <w:autoSpaceDE/>
        <w:autoSpaceDN/>
        <w:bidi w:val="0"/>
        <w:spacing w:line="560" w:lineRule="exact"/>
        <w:jc w:val="right"/>
        <w:textAlignment w:val="auto"/>
        <w:rPr>
          <w:rFonts w:hint="eastAsia"/>
          <w:color w:val="auto"/>
          <w:sz w:val="20"/>
          <w:szCs w:val="20"/>
          <w:highlight w:val="none"/>
          <w:lang w:val="en-US" w:eastAsia="zh-CN"/>
        </w:rPr>
      </w:pPr>
      <w:r>
        <w:rPr>
          <w:rFonts w:hint="eastAsia"/>
          <w:color w:val="auto"/>
          <w:sz w:val="20"/>
          <w:szCs w:val="20"/>
          <w:highlight w:val="none"/>
          <w:lang w:val="en-US" w:eastAsia="zh-CN"/>
        </w:rPr>
        <w:t>单位：万元</w:t>
      </w:r>
    </w:p>
    <w:tbl>
      <w:tblPr>
        <w:tblStyle w:val="6"/>
        <w:tblpPr w:leftFromText="180" w:rightFromText="180" w:vertAnchor="text" w:horzAnchor="page" w:tblpX="804" w:tblpY="181"/>
        <w:tblOverlap w:val="never"/>
        <w:tblW w:w="103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92"/>
        <w:gridCol w:w="862"/>
        <w:gridCol w:w="845"/>
        <w:gridCol w:w="736"/>
        <w:gridCol w:w="573"/>
        <w:gridCol w:w="1814"/>
        <w:gridCol w:w="763"/>
        <w:gridCol w:w="873"/>
        <w:gridCol w:w="723"/>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6" w:hRule="atLeast"/>
        </w:trPr>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  目</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2020年预算数</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  目</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2019年执行数</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剔除不可比因素</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2020年预算数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6" w:hRule="atLeast"/>
        </w:trPr>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国有资本经营预算收入</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highlight w:val="none"/>
                <w:u w:val="none"/>
                <w:lang w:val="en-US"/>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20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highlight w:val="none"/>
                <w:u w:val="none"/>
                <w:lang w:val="en-US"/>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100.0%</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国有资本经营预算支出</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4536</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40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6" w:hRule="atLeast"/>
        </w:trPr>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2"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利润收入</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highlight w:val="none"/>
                <w:u w:val="none"/>
                <w:lang w:val="en-US" w:eastAsia="zh-CN"/>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highlight w:val="none"/>
                <w:u w:val="none"/>
                <w:lang w:val="en-US" w:eastAsia="zh-CN"/>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highlight w:val="none"/>
                <w:u w:val="none"/>
                <w:lang w:val="en-US"/>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w:t>
            </w:r>
            <w:r>
              <w:rPr>
                <w:rFonts w:hint="eastAsia" w:asciiTheme="minorEastAsia" w:hAnsiTheme="minorEastAsia" w:eastAsiaTheme="minorEastAsia" w:cstheme="minorEastAsia"/>
                <w:b/>
                <w:bCs/>
                <w:i w:val="0"/>
                <w:color w:val="auto"/>
                <w:kern w:val="0"/>
                <w:sz w:val="20"/>
                <w:szCs w:val="20"/>
                <w:highlight w:val="none"/>
                <w:u w:val="none"/>
                <w:lang w:val="en-US" w:eastAsia="zh-CN" w:bidi="ar"/>
              </w:rPr>
              <w:t>国有企业资本金注入</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lang w:val="en-US" w:eastAsia="zh-CN"/>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highlight w:val="none"/>
                <w:u w:val="none"/>
                <w:lang w:val="en-US" w:eastAsia="zh-CN"/>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trPr>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其他国有资本经营预算企业利润收入</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highlight w:val="none"/>
                <w:u w:val="none"/>
                <w:lang w:val="en-US" w:eastAsia="zh-CN"/>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highlight w:val="none"/>
                <w:u w:val="none"/>
                <w:lang w:val="en-US" w:eastAsia="zh-CN"/>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40</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其他国有企业资本进注入</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4500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trPr>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2"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产权转让收入</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4500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highlight w:val="none"/>
                <w:u w:val="none"/>
                <w:lang w:val="en-US"/>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w:t>
            </w:r>
            <w:r>
              <w:rPr>
                <w:rFonts w:hint="eastAsia" w:asciiTheme="minorEastAsia" w:hAnsiTheme="minorEastAsia" w:eastAsiaTheme="minorEastAsia" w:cstheme="minorEastAsia"/>
                <w:b/>
                <w:bCs/>
                <w:i w:val="0"/>
                <w:color w:val="auto"/>
                <w:kern w:val="0"/>
                <w:sz w:val="20"/>
                <w:szCs w:val="20"/>
                <w:highlight w:val="none"/>
                <w:u w:val="none"/>
                <w:lang w:val="en-US" w:eastAsia="zh-CN" w:bidi="ar"/>
              </w:rPr>
              <w:t>其他国有资本预算支出</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highlight w:val="none"/>
                <w:u w:val="none"/>
                <w:lang w:val="en-US"/>
              </w:rPr>
            </w:pPr>
            <w:r>
              <w:rPr>
                <w:rFonts w:hint="eastAsia" w:asciiTheme="minorEastAsia" w:hAnsiTheme="minorEastAsia" w:eastAsiaTheme="minorEastAsia" w:cstheme="minorEastAsia"/>
                <w:i w:val="0"/>
                <w:color w:val="auto"/>
                <w:kern w:val="0"/>
                <w:sz w:val="20"/>
                <w:szCs w:val="20"/>
                <w:highlight w:val="none"/>
                <w:u w:val="none"/>
                <w:lang w:val="en-US" w:eastAsia="zh-CN" w:bidi="ar"/>
              </w:rPr>
              <w:t>40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trPr>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其他国有资本经营预算企业产权转让收入</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4500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     其他国有资本预算支出</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36</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40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9" w:hRule="atLeast"/>
        </w:trPr>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1" w:firstLineChars="100"/>
              <w:jc w:val="left"/>
              <w:textAlignment w:val="center"/>
              <w:rPr>
                <w:rFonts w:hint="eastAsia" w:asciiTheme="minorEastAsia" w:hAnsiTheme="minorEastAsia" w:eastAsiaTheme="minorEastAsia" w:cstheme="minorEastAsia"/>
                <w:b/>
                <w:bCs/>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上年结转</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16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auto"/>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atLeast"/>
        </w:trPr>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highlight w:val="none"/>
                <w:u w:val="none"/>
                <w:lang w:val="en-US" w:eastAsia="zh-CN" w:bidi="ar"/>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收入合计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4536</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36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40</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11.1%</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0"/>
                <w:szCs w:val="20"/>
                <w:highlight w:val="none"/>
                <w:u w:val="none"/>
                <w:lang w:eastAsia="zh-CN"/>
              </w:rPr>
            </w:pPr>
            <w:r>
              <w:rPr>
                <w:rFonts w:hint="eastAsia" w:asciiTheme="minorEastAsia" w:hAnsiTheme="minorEastAsia" w:eastAsiaTheme="minorEastAsia" w:cstheme="minorEastAsia"/>
                <w:b/>
                <w:bCs/>
                <w:i w:val="0"/>
                <w:color w:val="auto"/>
                <w:sz w:val="20"/>
                <w:szCs w:val="20"/>
                <w:highlight w:val="none"/>
                <w:u w:val="none"/>
                <w:lang w:eastAsia="zh-CN"/>
              </w:rPr>
              <w:t>支出合计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4536</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36</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40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color w:val="auto"/>
                <w:sz w:val="20"/>
                <w:szCs w:val="20"/>
                <w:highlight w:val="none"/>
                <w:u w:val="none"/>
                <w:lang w:val="en-US" w:eastAsia="zh-CN"/>
              </w:rPr>
            </w:pPr>
            <w:r>
              <w:rPr>
                <w:rFonts w:hint="eastAsia" w:asciiTheme="minorEastAsia" w:hAnsiTheme="minorEastAsia" w:eastAsiaTheme="minorEastAsia" w:cstheme="minorEastAsia"/>
                <w:i w:val="0"/>
                <w:color w:val="auto"/>
                <w:sz w:val="20"/>
                <w:szCs w:val="20"/>
                <w:highlight w:val="none"/>
                <w:u w:val="none"/>
                <w:lang w:val="en-US" w:eastAsia="zh-CN"/>
              </w:rPr>
              <w:t>11.1%</w:t>
            </w:r>
          </w:p>
        </w:tc>
      </w:tr>
    </w:tbl>
    <w:p>
      <w:pPr>
        <w:jc w:val="both"/>
        <w:rPr>
          <w:rFonts w:hint="eastAsia" w:ascii="Times New Roman" w:hAnsi="Times New Roman" w:eastAsia="宋体" w:cs="Times New Roman"/>
          <w:color w:val="auto"/>
          <w:kern w:val="2"/>
          <w:sz w:val="21"/>
          <w:szCs w:val="24"/>
          <w:highlight w:val="none"/>
          <w:lang w:val="en-US" w:eastAsia="zh-CN" w:bidi="ar-SA"/>
        </w:rPr>
      </w:pPr>
    </w:p>
    <w:p>
      <w:pPr>
        <w:jc w:val="center"/>
        <w:rPr>
          <w:rFonts w:hint="eastAsia" w:ascii="Times New Roman" w:hAnsi="Times New Roman" w:eastAsia="宋体" w:cs="Times New Roman"/>
          <w:color w:val="auto"/>
          <w:kern w:val="2"/>
          <w:sz w:val="21"/>
          <w:szCs w:val="24"/>
          <w:highlight w:val="none"/>
          <w:lang w:val="en-US" w:eastAsia="zh-CN" w:bidi="ar-SA"/>
        </w:rPr>
      </w:pPr>
    </w:p>
    <w:p>
      <w:pPr>
        <w:jc w:val="center"/>
        <w:rPr>
          <w:rFonts w:hint="eastAsia" w:ascii="Times New Roman" w:hAnsi="Times New Roman" w:eastAsia="宋体" w:cs="Times New Roman"/>
          <w:color w:val="auto"/>
          <w:kern w:val="2"/>
          <w:sz w:val="21"/>
          <w:szCs w:val="24"/>
          <w:highlight w:val="none"/>
          <w:lang w:val="en-US" w:eastAsia="zh-CN" w:bidi="ar-SA"/>
        </w:rPr>
      </w:pPr>
    </w:p>
    <w:tbl>
      <w:tblPr>
        <w:tblStyle w:val="6"/>
        <w:tblW w:w="93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04"/>
        <w:gridCol w:w="990"/>
        <w:gridCol w:w="975"/>
        <w:gridCol w:w="840"/>
        <w:gridCol w:w="1704"/>
        <w:gridCol w:w="982"/>
        <w:gridCol w:w="914"/>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9318" w:type="dxa"/>
            <w:gridSpan w:val="8"/>
            <w:shd w:val="clear" w:color="auto" w:fill="auto"/>
            <w:vAlign w:val="center"/>
          </w:tcPr>
          <w:p>
            <w:pPr>
              <w:keepNext w:val="0"/>
              <w:keepLines w:val="0"/>
              <w:widowControl/>
              <w:suppressLineNumbers w:val="0"/>
              <w:jc w:val="both"/>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附件25：</w:t>
            </w:r>
          </w:p>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highlight w:val="none"/>
                <w:u w:val="none"/>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2020年龙湾区本级社会保险基金预算（草案）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904" w:type="dxa"/>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990" w:type="dxa"/>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975" w:type="dxa"/>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840" w:type="dxa"/>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1704" w:type="dxa"/>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982" w:type="dxa"/>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914" w:type="dxa"/>
            <w:tcBorders>
              <w:bottom w:val="single" w:color="000000" w:sz="4" w:space="0"/>
            </w:tcBorders>
            <w:shd w:val="clear" w:color="auto" w:fill="auto"/>
            <w:vAlign w:val="center"/>
          </w:tcPr>
          <w:p>
            <w:pPr>
              <w:jc w:val="both"/>
              <w:rPr>
                <w:rFonts w:hint="default" w:ascii="Times New Roman" w:hAnsi="Times New Roman" w:eastAsia="宋体" w:cs="Times New Roman"/>
                <w:i w:val="0"/>
                <w:color w:val="auto"/>
                <w:sz w:val="20"/>
                <w:szCs w:val="20"/>
                <w:highlight w:val="none"/>
                <w:u w:val="none"/>
              </w:rPr>
            </w:pPr>
          </w:p>
        </w:tc>
        <w:tc>
          <w:tcPr>
            <w:tcW w:w="1009" w:type="dxa"/>
            <w:tcBorders>
              <w:bottom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  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  目</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执行数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0"/>
                <w:szCs w:val="20"/>
                <w:highlight w:val="none"/>
                <w:u w:val="none"/>
                <w:lang w:val="en-US" w:eastAsia="zh-CN" w:bidi="ar"/>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预算数</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社会保险基金收入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社会保险基金支出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城乡居民基本养老保险基金收入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城乡居民基本养老保险基金支出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18" w:type="dxa"/>
            <w:gridSpan w:val="8"/>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注：社会保险基金预算并入市级社会保险基金预算</w:t>
            </w:r>
          </w:p>
        </w:tc>
      </w:tr>
    </w:tbl>
    <w:p>
      <w:pPr>
        <w:jc w:val="center"/>
        <w:rPr>
          <w:rFonts w:hint="eastAsia" w:ascii="Times New Roman" w:hAnsi="Times New Roman" w:eastAsia="宋体" w:cs="Times New Roman"/>
          <w:color w:val="auto"/>
          <w:kern w:val="2"/>
          <w:sz w:val="21"/>
          <w:szCs w:val="24"/>
          <w:highlight w:val="none"/>
          <w:lang w:val="en-US" w:eastAsia="zh-CN" w:bidi="ar-SA"/>
        </w:rPr>
      </w:pPr>
    </w:p>
    <w:tbl>
      <w:tblPr>
        <w:tblStyle w:val="6"/>
        <w:tblpPr w:leftFromText="180" w:rightFromText="180" w:vertAnchor="text" w:horzAnchor="page" w:tblpX="1116" w:tblpY="10"/>
        <w:tblOverlap w:val="never"/>
        <w:tblW w:w="9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58"/>
        <w:gridCol w:w="2273"/>
        <w:gridCol w:w="2325"/>
        <w:gridCol w:w="2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1" w:hRule="atLeast"/>
        </w:trPr>
        <w:tc>
          <w:tcPr>
            <w:tcW w:w="9885" w:type="dxa"/>
            <w:gridSpan w:val="4"/>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附件26：</w:t>
            </w:r>
          </w:p>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highlight w:val="none"/>
                <w:u w:val="none"/>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2020年龙湾区地方政府债务余额情况</w:t>
            </w:r>
            <w:r>
              <w:rPr>
                <w:rFonts w:hint="eastAsia" w:ascii="方正小标宋简体" w:hAnsi="方正小标宋简体" w:eastAsia="方正小标宋简体" w:cs="方正小标宋简体"/>
                <w:i w:val="0"/>
                <w:color w:val="auto"/>
                <w:kern w:val="0"/>
                <w:sz w:val="36"/>
                <w:szCs w:val="36"/>
                <w:highlight w:val="none"/>
                <w:u w:val="none"/>
                <w:lang w:val="en-US" w:eastAsia="zh-CN" w:bidi="ar"/>
              </w:rPr>
              <w:t>（草案）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rPr>
        <w:tc>
          <w:tcPr>
            <w:tcW w:w="2858" w:type="dxa"/>
            <w:tcBorders>
              <w:bottom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2273" w:type="dxa"/>
            <w:tcBorders>
              <w:bottom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2325" w:type="dxa"/>
            <w:tcBorders>
              <w:bottom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2429" w:type="dxa"/>
            <w:tcBorders>
              <w:bottom w:val="single" w:color="000000" w:sz="4" w:space="0"/>
            </w:tcBorders>
            <w:shd w:val="clear" w:color="auto" w:fill="auto"/>
            <w:vAlign w:val="center"/>
          </w:tcPr>
          <w:p>
            <w:pPr>
              <w:keepNext w:val="0"/>
              <w:keepLines w:val="0"/>
              <w:widowControl/>
              <w:suppressLineNumbers w:val="0"/>
              <w:ind w:firstLine="1400" w:firstLineChars="70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项目</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2019年执行数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2020年预算数</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一、2020年地方政府债务新增债务限额</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150000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35000</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提前下达新增债券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其中：一般债务</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i w:val="0"/>
                <w:color w:val="auto"/>
                <w:sz w:val="20"/>
                <w:szCs w:val="20"/>
                <w:highlight w:val="none"/>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i w:val="0"/>
                <w:color w:val="auto"/>
                <w:sz w:val="20"/>
                <w:szCs w:val="20"/>
                <w:highlight w:val="none"/>
                <w:u w:val="none"/>
                <w:lang w:val="en-US" w:eastAsia="zh-CN"/>
              </w:rPr>
            </w:pPr>
            <w:r>
              <w:rPr>
                <w:rFonts w:hint="eastAsia" w:asciiTheme="minorEastAsia" w:hAnsiTheme="minorEastAsia" w:eastAsiaTheme="minorEastAsia" w:cstheme="minorEastAsia"/>
                <w:b w:val="0"/>
                <w:bCs/>
                <w:i w:val="0"/>
                <w:color w:val="auto"/>
                <w:sz w:val="20"/>
                <w:szCs w:val="20"/>
                <w:highlight w:val="none"/>
                <w:u w:val="none"/>
                <w:lang w:val="en-US" w:eastAsia="zh-CN"/>
              </w:rPr>
              <w:t>15000</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00" w:firstLineChars="4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专项债务</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150000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auto"/>
                <w:sz w:val="20"/>
                <w:szCs w:val="20"/>
                <w:highlight w:val="none"/>
                <w:u w:val="none"/>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20000</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二、2020年末地方政府债务限额</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center"/>
              <w:textAlignment w:val="center"/>
              <w:rPr>
                <w:rFonts w:hint="eastAsia" w:asciiTheme="minorEastAsia" w:hAnsiTheme="minorEastAsia" w:eastAsiaTheme="minorEastAsia" w:cstheme="minorEastAsia"/>
                <w:b w:val="0"/>
                <w:bCs/>
                <w:i w:val="0"/>
                <w:color w:val="auto"/>
                <w:kern w:val="2"/>
                <w:sz w:val="20"/>
                <w:szCs w:val="20"/>
                <w:highlight w:val="none"/>
                <w:u w:val="none"/>
                <w:lang w:val="en-US" w:eastAsia="zh-CN" w:bidi="ar-SA"/>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614800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auto"/>
                <w:kern w:val="2"/>
                <w:sz w:val="20"/>
                <w:szCs w:val="20"/>
                <w:highlight w:val="none"/>
                <w:u w:val="none"/>
                <w:lang w:val="en-US" w:eastAsia="zh-CN" w:bidi="ar-SA"/>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649800</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其中：一般债务</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center"/>
              <w:rPr>
                <w:rFonts w:hint="default" w:asciiTheme="minorEastAsia" w:hAnsiTheme="minorEastAsia" w:eastAsiaTheme="minorEastAsia" w:cstheme="minorEastAsia"/>
                <w:b w:val="0"/>
                <w:bCs/>
                <w:i w:val="0"/>
                <w:color w:val="auto"/>
                <w:sz w:val="20"/>
                <w:szCs w:val="20"/>
                <w:highlight w:val="none"/>
                <w:u w:val="none"/>
                <w:lang w:val="en-US"/>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151100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i w:val="0"/>
                <w:color w:val="auto"/>
                <w:sz w:val="20"/>
                <w:szCs w:val="20"/>
                <w:highlight w:val="none"/>
                <w:u w:val="none"/>
                <w:lang w:val="en-US"/>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166100</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00" w:firstLineChars="4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专项债务</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center"/>
              <w:rPr>
                <w:rFonts w:hint="default" w:asciiTheme="minorEastAsia" w:hAnsiTheme="minorEastAsia" w:eastAsiaTheme="minorEastAsia" w:cstheme="minorEastAsia"/>
                <w:b w:val="0"/>
                <w:bCs/>
                <w:i w:val="0"/>
                <w:color w:val="auto"/>
                <w:sz w:val="20"/>
                <w:szCs w:val="20"/>
                <w:highlight w:val="none"/>
                <w:u w:val="none"/>
                <w:lang w:val="en-US"/>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463700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i w:val="0"/>
                <w:color w:val="auto"/>
                <w:sz w:val="20"/>
                <w:szCs w:val="20"/>
                <w:highlight w:val="none"/>
                <w:u w:val="none"/>
                <w:lang w:val="en-US"/>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483700</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三、2020年末地方政府债务余额</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center"/>
              <w:textAlignment w:val="center"/>
              <w:rPr>
                <w:rFonts w:hint="default" w:asciiTheme="minorEastAsia" w:hAnsiTheme="minorEastAsia" w:eastAsiaTheme="minorEastAsia" w:cstheme="minorEastAsia"/>
                <w:b w:val="0"/>
                <w:bCs/>
                <w:i w:val="0"/>
                <w:color w:val="auto"/>
                <w:kern w:val="2"/>
                <w:sz w:val="20"/>
                <w:szCs w:val="20"/>
                <w:highlight w:val="none"/>
                <w:u w:val="none"/>
                <w:lang w:val="en-US" w:eastAsia="zh-CN" w:bidi="ar-SA"/>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614727</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i w:val="0"/>
                <w:color w:val="auto"/>
                <w:kern w:val="2"/>
                <w:sz w:val="20"/>
                <w:szCs w:val="20"/>
                <w:highlight w:val="none"/>
                <w:u w:val="none"/>
                <w:lang w:val="en-US" w:eastAsia="zh-CN" w:bidi="ar-SA"/>
              </w:rPr>
            </w:pPr>
            <w:r>
              <w:rPr>
                <w:rFonts w:hint="eastAsia" w:asciiTheme="minorEastAsia" w:hAnsiTheme="minorEastAsia" w:eastAsiaTheme="minorEastAsia" w:cstheme="minorEastAsia"/>
                <w:b w:val="0"/>
                <w:bCs/>
                <w:i w:val="0"/>
                <w:color w:val="auto"/>
                <w:kern w:val="0"/>
                <w:sz w:val="20"/>
                <w:szCs w:val="20"/>
                <w:highlight w:val="none"/>
                <w:u w:val="none"/>
                <w:lang w:val="en-US" w:eastAsia="zh-CN" w:bidi="ar"/>
              </w:rPr>
              <w:t>649727</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i w:val="0"/>
                <w:color w:val="auto"/>
                <w:sz w:val="20"/>
                <w:szCs w:val="20"/>
                <w:highlight w:val="none"/>
                <w:u w:val="none"/>
              </w:rPr>
            </w:pPr>
          </w:p>
        </w:tc>
      </w:tr>
    </w:tbl>
    <w:p>
      <w:pPr>
        <w:jc w:val="center"/>
        <w:rPr>
          <w:rFonts w:hint="eastAsia" w:ascii="Times New Roman" w:hAnsi="Times New Roman" w:eastAsia="宋体" w:cs="Times New Roman"/>
          <w:color w:val="auto"/>
          <w:kern w:val="2"/>
          <w:sz w:val="21"/>
          <w:szCs w:val="24"/>
          <w:highlight w:val="none"/>
          <w:lang w:val="en-US" w:eastAsia="zh-CN" w:bidi="ar-SA"/>
        </w:rPr>
      </w:pPr>
    </w:p>
    <w:p>
      <w:pPr>
        <w:jc w:val="center"/>
        <w:rPr>
          <w:rFonts w:hint="eastAsia" w:ascii="Times New Roman" w:hAnsi="Times New Roman" w:eastAsia="宋体" w:cs="Times New Roman"/>
          <w:color w:val="auto"/>
          <w:kern w:val="2"/>
          <w:sz w:val="21"/>
          <w:szCs w:val="24"/>
          <w:highlight w:val="none"/>
          <w:lang w:val="en-US" w:eastAsia="zh-CN" w:bidi="ar-SA"/>
        </w:rPr>
      </w:pPr>
    </w:p>
    <w:p>
      <w:pPr>
        <w:jc w:val="center"/>
        <w:rPr>
          <w:rFonts w:hint="eastAsia" w:ascii="Times New Roman" w:hAnsi="Times New Roman" w:eastAsia="宋体" w:cs="Times New Roman"/>
          <w:color w:val="auto"/>
          <w:kern w:val="2"/>
          <w:sz w:val="21"/>
          <w:szCs w:val="24"/>
          <w:highlight w:val="none"/>
          <w:lang w:val="en-US" w:eastAsia="zh-CN" w:bidi="ar-SA"/>
        </w:rPr>
      </w:pPr>
    </w:p>
    <w:p>
      <w:pPr>
        <w:jc w:val="center"/>
        <w:rPr>
          <w:rFonts w:hint="eastAsia" w:ascii="Times New Roman" w:hAnsi="Times New Roman" w:eastAsia="宋体" w:cs="Times New Roman"/>
          <w:color w:val="auto"/>
          <w:kern w:val="2"/>
          <w:sz w:val="21"/>
          <w:szCs w:val="24"/>
          <w:highlight w:val="none"/>
          <w:lang w:val="en-US" w:eastAsia="zh-CN" w:bidi="ar-SA"/>
        </w:rPr>
      </w:pPr>
    </w:p>
    <w:p>
      <w:pPr>
        <w:jc w:val="center"/>
        <w:rPr>
          <w:rFonts w:hint="eastAsia" w:ascii="Times New Roman" w:hAnsi="Times New Roman" w:eastAsia="宋体" w:cs="Times New Roman"/>
          <w:color w:val="auto"/>
          <w:kern w:val="2"/>
          <w:sz w:val="21"/>
          <w:szCs w:val="24"/>
          <w:highlight w:val="none"/>
          <w:lang w:val="en-US" w:eastAsia="zh-CN" w:bidi="ar-SA"/>
        </w:rPr>
      </w:pPr>
    </w:p>
    <w:p>
      <w:pPr>
        <w:jc w:val="center"/>
        <w:rPr>
          <w:rFonts w:hint="eastAsia" w:ascii="Times New Roman" w:hAnsi="Times New Roman" w:eastAsia="宋体" w:cs="Times New Roman"/>
          <w:color w:val="auto"/>
          <w:kern w:val="2"/>
          <w:sz w:val="21"/>
          <w:szCs w:val="24"/>
          <w:highlight w:val="none"/>
          <w:lang w:val="en-US" w:eastAsia="zh-CN" w:bidi="ar-SA"/>
        </w:rPr>
      </w:pPr>
    </w:p>
    <w:p>
      <w:pPr>
        <w:jc w:val="center"/>
        <w:rPr>
          <w:rFonts w:hint="eastAsia" w:ascii="Times New Roman" w:hAnsi="Times New Roman" w:eastAsia="宋体" w:cs="Times New Roman"/>
          <w:color w:val="auto"/>
          <w:kern w:val="2"/>
          <w:sz w:val="21"/>
          <w:szCs w:val="24"/>
          <w:highlight w:val="none"/>
          <w:lang w:val="en-US" w:eastAsia="zh-CN" w:bidi="ar-SA"/>
        </w:rPr>
      </w:pPr>
    </w:p>
    <w:p>
      <w:pPr>
        <w:jc w:val="center"/>
        <w:rPr>
          <w:rFonts w:hint="eastAsia" w:ascii="Times New Roman" w:hAnsi="Times New Roman" w:eastAsia="宋体" w:cs="Times New Roman"/>
          <w:color w:val="auto"/>
          <w:kern w:val="2"/>
          <w:sz w:val="21"/>
          <w:szCs w:val="24"/>
          <w:highlight w:val="none"/>
          <w:lang w:val="en-US" w:eastAsia="zh-CN" w:bidi="ar-SA"/>
        </w:rPr>
      </w:pPr>
    </w:p>
    <w:tbl>
      <w:tblPr>
        <w:tblStyle w:val="6"/>
        <w:tblW w:w="9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79"/>
        <w:gridCol w:w="1829"/>
        <w:gridCol w:w="1546"/>
        <w:gridCol w:w="1650"/>
        <w:gridCol w:w="1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5" w:hRule="atLeast"/>
        </w:trPr>
        <w:tc>
          <w:tcPr>
            <w:tcW w:w="9555" w:type="dxa"/>
            <w:gridSpan w:val="5"/>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32"/>
                <w:szCs w:val="32"/>
                <w:highlight w:val="none"/>
                <w:u w:val="none"/>
                <w:lang w:val="en-US" w:eastAsia="zh-CN" w:bidi="ar"/>
              </w:rPr>
            </w:pPr>
          </w:p>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auto"/>
                <w:kern w:val="0"/>
                <w:sz w:val="36"/>
                <w:szCs w:val="36"/>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附件27：</w:t>
            </w:r>
          </w:p>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highlight w:val="none"/>
                <w:u w:val="none"/>
              </w:rPr>
            </w:pPr>
            <w:r>
              <w:rPr>
                <w:rFonts w:hint="default" w:ascii="方正小标宋简体" w:hAnsi="方正小标宋简体" w:eastAsia="方正小标宋简体" w:cs="方正小标宋简体"/>
                <w:i w:val="0"/>
                <w:color w:val="auto"/>
                <w:kern w:val="0"/>
                <w:sz w:val="36"/>
                <w:szCs w:val="36"/>
                <w:highlight w:val="none"/>
                <w:u w:val="none"/>
                <w:lang w:val="en-US" w:eastAsia="zh-CN" w:bidi="ar"/>
              </w:rPr>
              <w:t>2020年龙湾区“三公”经费预算（草案）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2579" w:type="dxa"/>
            <w:tcBorders>
              <w:bottom w:val="single" w:color="000000" w:sz="4" w:space="0"/>
            </w:tcBorders>
            <w:shd w:val="clear" w:color="auto" w:fill="auto"/>
            <w:vAlign w:val="center"/>
          </w:tcPr>
          <w:p>
            <w:pPr>
              <w:jc w:val="center"/>
              <w:rPr>
                <w:rFonts w:hint="default" w:ascii="方正小标宋简体" w:hAnsi="方正小标宋简体" w:eastAsia="方正小标宋简体" w:cs="方正小标宋简体"/>
                <w:i w:val="0"/>
                <w:color w:val="auto"/>
                <w:sz w:val="32"/>
                <w:szCs w:val="32"/>
                <w:highlight w:val="none"/>
                <w:u w:val="none"/>
              </w:rPr>
            </w:pPr>
          </w:p>
        </w:tc>
        <w:tc>
          <w:tcPr>
            <w:tcW w:w="1829" w:type="dxa"/>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1546" w:type="dxa"/>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1650" w:type="dxa"/>
            <w:tcBorders>
              <w:bottom w:val="single" w:color="000000" w:sz="4" w:space="0"/>
            </w:tcBorders>
            <w:shd w:val="clear" w:color="auto" w:fill="auto"/>
            <w:vAlign w:val="center"/>
          </w:tcPr>
          <w:p>
            <w:pPr>
              <w:jc w:val="center"/>
              <w:rPr>
                <w:rFonts w:hint="default" w:ascii="Times New Roman" w:hAnsi="Times New Roman" w:eastAsia="宋体" w:cs="Times New Roman"/>
                <w:i w:val="0"/>
                <w:color w:val="auto"/>
                <w:sz w:val="20"/>
                <w:szCs w:val="20"/>
                <w:highlight w:val="none"/>
                <w:u w:val="none"/>
              </w:rPr>
            </w:pPr>
          </w:p>
        </w:tc>
        <w:tc>
          <w:tcPr>
            <w:tcW w:w="1951"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项    目</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2019年预算数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2020年预算数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同比增长</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0"/>
                <w:szCs w:val="20"/>
                <w:highlight w:val="none"/>
                <w:u w:val="none"/>
              </w:rPr>
            </w:pPr>
            <w:r>
              <w:rPr>
                <w:rFonts w:hint="eastAsia" w:asciiTheme="minorEastAsia" w:hAnsiTheme="minorEastAsia" w:eastAsiaTheme="minorEastAsia" w:cstheme="minorEastAsia"/>
                <w:b/>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支出合计</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1876</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1688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-10.0%</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因公出国（境）</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90</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90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0.0%</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与上年持平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公务接待</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268</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248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-7.5%</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严控公务接待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车辆购置与运行</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1518</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1350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-11.1%</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加强公车运行管理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其中：车辆购置</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550</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550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0.0%</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车辆运行</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968</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800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-17.4%</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color w:val="auto"/>
                <w:sz w:val="20"/>
                <w:szCs w:val="20"/>
                <w:highlight w:val="none"/>
                <w:u w:val="none"/>
              </w:rPr>
            </w:pPr>
          </w:p>
        </w:tc>
      </w:tr>
    </w:tbl>
    <w:p>
      <w:pPr>
        <w:jc w:val="left"/>
        <w:rPr>
          <w:rFonts w:hint="eastAsia" w:ascii="Times New Roman" w:hAnsi="Times New Roman" w:eastAsia="宋体" w:cs="Times New Roman"/>
          <w:color w:val="auto"/>
          <w:kern w:val="2"/>
          <w:sz w:val="21"/>
          <w:szCs w:val="24"/>
          <w:highlight w:val="none"/>
          <w:lang w:val="en-US" w:eastAsia="zh-CN" w:bidi="ar-SA"/>
        </w:rPr>
      </w:pPr>
    </w:p>
    <w:sectPr>
      <w:pgSz w:w="11906" w:h="16838"/>
      <w:pgMar w:top="1701" w:right="1417" w:bottom="1701" w:left="1417" w:header="851" w:footer="1191"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1"/>
    <w:family w:val="auto"/>
    <w:pitch w:val="default"/>
    <w:sig w:usb0="E00002FF" w:usb1="4000ACFF" w:usb2="00000001" w:usb3="00000000" w:csb0="2000019F" w:csb1="0000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swiss"/>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30"/>
                              <w:szCs w:val="30"/>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1</w:t>
                          </w:r>
                          <w:r>
                            <w:rPr>
                              <w:rFonts w:hint="eastAsia" w:ascii="仿宋" w:hAnsi="仿宋" w:eastAsia="仿宋" w:cs="仿宋"/>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 w:hAnsi="仿宋" w:eastAsia="仿宋" w:cs="仿宋"/>
                        <w:sz w:val="30"/>
                        <w:szCs w:val="30"/>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1</w:t>
                    </w:r>
                    <w:r>
                      <w:rPr>
                        <w:rFonts w:hint="eastAsia" w:ascii="仿宋" w:hAnsi="仿宋" w:eastAsia="仿宋" w:cs="仿宋"/>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02A47"/>
    <w:multiLevelType w:val="singleLevel"/>
    <w:tmpl w:val="2F902A4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8063AB"/>
    <w:rsid w:val="020A4B2B"/>
    <w:rsid w:val="0371791A"/>
    <w:rsid w:val="03FD0816"/>
    <w:rsid w:val="0402792C"/>
    <w:rsid w:val="046E4AC6"/>
    <w:rsid w:val="04886060"/>
    <w:rsid w:val="057B2A17"/>
    <w:rsid w:val="0628628B"/>
    <w:rsid w:val="063037BA"/>
    <w:rsid w:val="064453A0"/>
    <w:rsid w:val="07DF1FC1"/>
    <w:rsid w:val="07F61282"/>
    <w:rsid w:val="080B15C3"/>
    <w:rsid w:val="086C4D69"/>
    <w:rsid w:val="0BE07079"/>
    <w:rsid w:val="0C101A76"/>
    <w:rsid w:val="0E8830A8"/>
    <w:rsid w:val="10F56F88"/>
    <w:rsid w:val="11A75E66"/>
    <w:rsid w:val="13727BFC"/>
    <w:rsid w:val="13E36D57"/>
    <w:rsid w:val="14DC5FE0"/>
    <w:rsid w:val="15A31B1F"/>
    <w:rsid w:val="169A4833"/>
    <w:rsid w:val="1752777D"/>
    <w:rsid w:val="1769056C"/>
    <w:rsid w:val="179B3D7D"/>
    <w:rsid w:val="18256531"/>
    <w:rsid w:val="1901312D"/>
    <w:rsid w:val="1AA435F4"/>
    <w:rsid w:val="1B247B13"/>
    <w:rsid w:val="1C3D0827"/>
    <w:rsid w:val="1C727006"/>
    <w:rsid w:val="1CBE375F"/>
    <w:rsid w:val="1D1C76A3"/>
    <w:rsid w:val="1DC4343D"/>
    <w:rsid w:val="1E512773"/>
    <w:rsid w:val="1F016133"/>
    <w:rsid w:val="1F137BBD"/>
    <w:rsid w:val="201C2837"/>
    <w:rsid w:val="229A4188"/>
    <w:rsid w:val="22D500C4"/>
    <w:rsid w:val="236A180C"/>
    <w:rsid w:val="24BE026B"/>
    <w:rsid w:val="252D6FD9"/>
    <w:rsid w:val="25662DE2"/>
    <w:rsid w:val="258831FD"/>
    <w:rsid w:val="25AE17D6"/>
    <w:rsid w:val="25D75A9E"/>
    <w:rsid w:val="25E95125"/>
    <w:rsid w:val="26A56E20"/>
    <w:rsid w:val="27563BCF"/>
    <w:rsid w:val="279075F6"/>
    <w:rsid w:val="29102CEB"/>
    <w:rsid w:val="29377CE6"/>
    <w:rsid w:val="297A6869"/>
    <w:rsid w:val="29D52B54"/>
    <w:rsid w:val="2AD71892"/>
    <w:rsid w:val="2B6C3673"/>
    <w:rsid w:val="2C3E287C"/>
    <w:rsid w:val="2C5B558F"/>
    <w:rsid w:val="2C612D23"/>
    <w:rsid w:val="2E7F66E4"/>
    <w:rsid w:val="32577A6B"/>
    <w:rsid w:val="33101B8F"/>
    <w:rsid w:val="345469A3"/>
    <w:rsid w:val="34944D00"/>
    <w:rsid w:val="35BC266D"/>
    <w:rsid w:val="35F56234"/>
    <w:rsid w:val="37472FE6"/>
    <w:rsid w:val="38850318"/>
    <w:rsid w:val="392C47AD"/>
    <w:rsid w:val="3AC15AAF"/>
    <w:rsid w:val="3AC8305B"/>
    <w:rsid w:val="3AED7404"/>
    <w:rsid w:val="3B507C0A"/>
    <w:rsid w:val="3F2432C4"/>
    <w:rsid w:val="42007D20"/>
    <w:rsid w:val="42E906D9"/>
    <w:rsid w:val="43CA560F"/>
    <w:rsid w:val="43DE34FE"/>
    <w:rsid w:val="44BF5995"/>
    <w:rsid w:val="47891850"/>
    <w:rsid w:val="48653E95"/>
    <w:rsid w:val="487F23A9"/>
    <w:rsid w:val="49342D2C"/>
    <w:rsid w:val="49404FF9"/>
    <w:rsid w:val="4A057AF0"/>
    <w:rsid w:val="4A224FFA"/>
    <w:rsid w:val="4A5468F7"/>
    <w:rsid w:val="4B002886"/>
    <w:rsid w:val="4C5337A7"/>
    <w:rsid w:val="4D5D033F"/>
    <w:rsid w:val="4D710EF8"/>
    <w:rsid w:val="4E6A2AFF"/>
    <w:rsid w:val="4E6C3271"/>
    <w:rsid w:val="4E746CDA"/>
    <w:rsid w:val="4F5C7675"/>
    <w:rsid w:val="50631620"/>
    <w:rsid w:val="50E67097"/>
    <w:rsid w:val="51A86A24"/>
    <w:rsid w:val="51EC01D9"/>
    <w:rsid w:val="53005E4A"/>
    <w:rsid w:val="55511AA8"/>
    <w:rsid w:val="55E13FCA"/>
    <w:rsid w:val="56155CA9"/>
    <w:rsid w:val="56310BE4"/>
    <w:rsid w:val="56D64810"/>
    <w:rsid w:val="579A2FCE"/>
    <w:rsid w:val="57A33AD6"/>
    <w:rsid w:val="58270071"/>
    <w:rsid w:val="594C5277"/>
    <w:rsid w:val="59E37A0C"/>
    <w:rsid w:val="5AA54441"/>
    <w:rsid w:val="5D15125D"/>
    <w:rsid w:val="5EC27C1F"/>
    <w:rsid w:val="5EF15741"/>
    <w:rsid w:val="61C93514"/>
    <w:rsid w:val="61FA0720"/>
    <w:rsid w:val="62B83488"/>
    <w:rsid w:val="62F5685A"/>
    <w:rsid w:val="64513C36"/>
    <w:rsid w:val="647C26D3"/>
    <w:rsid w:val="64C44F3B"/>
    <w:rsid w:val="666B18F1"/>
    <w:rsid w:val="66EA01FB"/>
    <w:rsid w:val="67792073"/>
    <w:rsid w:val="67F048D0"/>
    <w:rsid w:val="680D0250"/>
    <w:rsid w:val="69ED740B"/>
    <w:rsid w:val="6B04240F"/>
    <w:rsid w:val="6B31328E"/>
    <w:rsid w:val="6B572182"/>
    <w:rsid w:val="6BA75880"/>
    <w:rsid w:val="6BDD0E77"/>
    <w:rsid w:val="6C305474"/>
    <w:rsid w:val="6F341E04"/>
    <w:rsid w:val="705161E3"/>
    <w:rsid w:val="705754CD"/>
    <w:rsid w:val="711431C7"/>
    <w:rsid w:val="716B3CD1"/>
    <w:rsid w:val="71D541E0"/>
    <w:rsid w:val="73844D9E"/>
    <w:rsid w:val="73CB3004"/>
    <w:rsid w:val="753856A4"/>
    <w:rsid w:val="76206E04"/>
    <w:rsid w:val="76F718B5"/>
    <w:rsid w:val="77A30A58"/>
    <w:rsid w:val="77F52364"/>
    <w:rsid w:val="78012369"/>
    <w:rsid w:val="789301F2"/>
    <w:rsid w:val="79806A8F"/>
    <w:rsid w:val="79BA3C45"/>
    <w:rsid w:val="7B6A3EA3"/>
    <w:rsid w:val="7C9D4725"/>
    <w:rsid w:val="7CD35345"/>
    <w:rsid w:val="7D0F0F80"/>
    <w:rsid w:val="7D2C7A93"/>
    <w:rsid w:val="7D343EAB"/>
    <w:rsid w:val="7E8B6EA5"/>
    <w:rsid w:val="7EC73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ind w:firstLine="600" w:firstLineChars="200"/>
    </w:pPr>
    <w:rPr>
      <w:rFonts w:ascii="仿宋_GB2312" w:hAnsi="宋体" w:eastAsia="仿宋_GB2312"/>
      <w:sz w:val="3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customStyle="1" w:styleId="8">
    <w:name w:val="font51"/>
    <w:basedOn w:val="7"/>
    <w:qFormat/>
    <w:uiPriority w:val="0"/>
    <w:rPr>
      <w:rFonts w:hint="eastAsia" w:ascii="仿宋_GB2312" w:eastAsia="仿宋_GB2312" w:cs="仿宋_GB2312"/>
      <w:b/>
      <w:color w:val="000000"/>
      <w:sz w:val="20"/>
      <w:szCs w:val="20"/>
      <w:u w:val="none"/>
    </w:rPr>
  </w:style>
  <w:style w:type="character" w:customStyle="1" w:styleId="9">
    <w:name w:val="font11"/>
    <w:basedOn w:val="7"/>
    <w:qFormat/>
    <w:uiPriority w:val="0"/>
    <w:rPr>
      <w:rFonts w:hint="eastAsia" w:ascii="仿宋_GB2312" w:eastAsia="仿宋_GB2312" w:cs="仿宋_GB2312"/>
      <w:b/>
      <w:color w:val="000000"/>
      <w:sz w:val="20"/>
      <w:szCs w:val="20"/>
      <w:u w:val="none"/>
    </w:rPr>
  </w:style>
  <w:style w:type="character" w:customStyle="1" w:styleId="10">
    <w:name w:val="font31"/>
    <w:basedOn w:val="7"/>
    <w:qFormat/>
    <w:uiPriority w:val="0"/>
    <w:rPr>
      <w:rFonts w:hint="eastAsia" w:ascii="宋体" w:hAnsi="宋体" w:eastAsia="宋体" w:cs="宋体"/>
      <w:color w:val="000000"/>
      <w:sz w:val="20"/>
      <w:szCs w:val="20"/>
      <w:u w:val="none"/>
    </w:rPr>
  </w:style>
  <w:style w:type="character" w:customStyle="1" w:styleId="11">
    <w:name w:val="font41"/>
    <w:basedOn w:val="7"/>
    <w:qFormat/>
    <w:uiPriority w:val="0"/>
    <w:rPr>
      <w:rFonts w:hint="default" w:ascii="Times New Roman" w:hAnsi="Times New Roman" w:cs="Times New Roman"/>
      <w:color w:val="000000"/>
      <w:sz w:val="20"/>
      <w:szCs w:val="20"/>
      <w:u w:val="none"/>
    </w:rPr>
  </w:style>
  <w:style w:type="character" w:customStyle="1" w:styleId="12">
    <w:name w:val="font21"/>
    <w:basedOn w:val="7"/>
    <w:qFormat/>
    <w:uiPriority w:val="0"/>
    <w:rPr>
      <w:rFonts w:hint="eastAsia" w:ascii="仿宋_GB2312" w:eastAsia="仿宋_GB2312" w:cs="仿宋_GB2312"/>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xq\Desktop\&#25910;&#25903;&#22270;(2019-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xianglili\Desktop\2019&#24180;&#39044;&#31639;&#25191;&#34892;&#24773;&#20917;2020&#24180;&#39044;&#31639;&#33609;&#26696;\1.7\&#25910;&#25903;&#22270;(2019-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xianglili\Desktop\2019&#24180;&#39044;&#31639;&#25191;&#34892;&#24773;&#20917;2020&#24180;&#39044;&#31639;&#33609;&#26696;\1.7\&#25910;&#25903;&#22270;(2019-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xq\Desktop\&#39044;&#20915;&#31639;\&#39044;&#31639;\2020&#24180;&#37096;&#38376;&#39044;&#31639;\&#40857;&#28286;&#21306;\2020&#24180;&#39044;&#31639;&#33609;&#26696;\&#25910;&#25903;&#22270;(2019-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sz="1400" b="1" i="0" strike="noStrike">
                <a:solidFill>
                  <a:srgbClr val="000000"/>
                </a:solidFill>
                <a:latin typeface="Calibri" panose="020F0502020204030204"/>
                <a:cs typeface="Calibri" panose="020F0502020204030204"/>
              </a:rPr>
              <a:t>2019</a:t>
            </a:r>
            <a:r>
              <a:rPr lang="zh-CN" altLang="en-US" sz="1400" b="1" i="0" strike="noStrike">
                <a:solidFill>
                  <a:srgbClr val="000000"/>
                </a:solidFill>
                <a:latin typeface="宋体" panose="02010600030101010101" charset="-122"/>
                <a:ea typeface="宋体" panose="02010600030101010101" charset="-122"/>
              </a:rPr>
              <a:t>年区一般公共预算收入主要科目完成及占比情况</a:t>
            </a:r>
            <a:endParaRPr lang="en-US" altLang="zh-CN" sz="1400" b="1" i="0" strike="noStrike">
              <a:solidFill>
                <a:srgbClr val="000000"/>
              </a:solidFill>
              <a:latin typeface="宋体" panose="02010600030101010101" charset="-122"/>
              <a:ea typeface="宋体" panose="02010600030101010101" charset="-122"/>
            </a:endParaRPr>
          </a:p>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sz="1400" b="1" i="0" strike="noStrike">
                <a:solidFill>
                  <a:srgbClr val="000000"/>
                </a:solidFill>
                <a:latin typeface="宋体" panose="02010600030101010101" charset="-122"/>
                <a:ea typeface="宋体" panose="02010600030101010101" charset="-122"/>
              </a:rPr>
              <a:t>                                     </a:t>
            </a:r>
            <a:r>
              <a:rPr lang="zh-CN" altLang="en-US" sz="1400" b="1" i="0" strike="noStrike">
                <a:solidFill>
                  <a:srgbClr val="000000"/>
                </a:solidFill>
                <a:latin typeface="宋体" panose="02010600030101010101" charset="-122"/>
                <a:ea typeface="宋体" panose="02010600030101010101" charset="-122"/>
              </a:rPr>
              <a:t>（单位：万元）</a:t>
            </a:r>
            <a:endParaRPr lang="zh-CN" altLang="en-US" sz="1400" b="1" i="0" strike="noStrike">
              <a:solidFill>
                <a:srgbClr val="000000"/>
              </a:solidFill>
              <a:latin typeface="宋体" panose="02010600030101010101" charset="-122"/>
              <a:ea typeface="宋体" panose="02010600030101010101" charset="-122"/>
            </a:endParaRPr>
          </a:p>
        </c:rich>
      </c:tx>
      <c:layout>
        <c:manualLayout>
          <c:xMode val="edge"/>
          <c:yMode val="edge"/>
          <c:x val="0.11610120502505"/>
          <c:y val="0.00515552500429627"/>
        </c:manualLayout>
      </c:layout>
      <c:overlay val="0"/>
      <c:spPr>
        <a:noFill/>
        <a:ln w="25400">
          <a:noFill/>
        </a:ln>
      </c:spPr>
    </c:title>
    <c:autoTitleDeleted val="0"/>
    <c:plotArea>
      <c:layout>
        <c:manualLayout>
          <c:layoutTarget val="inner"/>
          <c:xMode val="edge"/>
          <c:yMode val="edge"/>
          <c:x val="0.290524593516719"/>
          <c:y val="0.253110780507275"/>
          <c:w val="0.474748143753585"/>
          <c:h val="0.622517898295"/>
        </c:manualLayout>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dLbl>
              <c:idx val="0"/>
              <c:layout>
                <c:manualLayout>
                  <c:x val="0.0810818344676612"/>
                  <c:y val="0.049130229689030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增值税</a:t>
                    </a:r>
                    <a:r>
                      <a:rPr lang="en-US" altLang="zh-CN"/>
                      <a:t>,120104,</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 37.3%</a:t>
                    </a:r>
                    <a:endParaRPr lang="zh-CN" alt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0.0332669022432802"/>
                  <c:y val="0.047417056738875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企业所得税</a:t>
                    </a:r>
                    <a:r>
                      <a:rPr lang="en-US" altLang="zh-CN"/>
                      <a:t>, 55736 , </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17.3%</a:t>
                    </a:r>
                    <a:endParaRPr lang="en-US" altLang="zh-CN"/>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0.0959260395480869"/>
                  <c:y val="0.074081062447839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个人所得税</a:t>
                    </a:r>
                    <a:r>
                      <a:rPr lang="en-US" altLang="zh-CN"/>
                      <a:t>,9771, </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3.0%</a:t>
                    </a:r>
                    <a:endParaRPr lang="zh-CN" alt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0965360257965233"/>
                  <c:y val="0.037591885216007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城市维护建设税  </a:t>
                    </a:r>
                    <a:r>
                      <a:rPr lang="en-US" altLang="zh-CN"/>
                      <a:t>,19941, </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6.2%</a:t>
                    </a:r>
                    <a:endParaRPr lang="zh-CN" alt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4"/>
              <c:layout>
                <c:manualLayout>
                  <c:x val="-0.0522888052679671"/>
                  <c:y val="-0.016763203891065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房产税</a:t>
                    </a:r>
                    <a:r>
                      <a:rPr lang="en-US" altLang="zh-CN"/>
                      <a:t>,15827 </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4.9%</a:t>
                    </a:r>
                    <a:endParaRPr lang="zh-CN" alt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5"/>
              <c:layout>
                <c:manualLayout>
                  <c:x val="-0.109107216098099"/>
                  <c:y val="0.0034696254719572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土地增值税税  </a:t>
                    </a:r>
                    <a:r>
                      <a:rPr lang="en-US" altLang="zh-CN"/>
                      <a:t>,32335</a:t>
                    </a:r>
                    <a:r>
                      <a:rPr altLang="en-US"/>
                      <a:t>，占比</a:t>
                    </a:r>
                    <a:r>
                      <a:rPr lang="en-US" altLang="zh-CN"/>
                      <a:t>10.1%</a:t>
                    </a:r>
                    <a:endParaRPr lang="en-US" altLang="zh-CN"/>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2546259050684"/>
                      <c:h val="0.124672603457307"/>
                    </c:manualLayout>
                  </c15:layout>
                </c:ext>
              </c:extLst>
            </c:dLbl>
            <c:dLbl>
              <c:idx val="6"/>
              <c:layout>
                <c:manualLayout>
                  <c:x val="-0.128148984002912"/>
                  <c:y val="-0.028645969293295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altLang="en-US"/>
                      <a:t>耕地占用税</a:t>
                    </a:r>
                    <a:r>
                      <a:rPr lang="en-US" altLang="zh-CN"/>
                      <a:t>, 2919 , </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0.9%</a:t>
                    </a:r>
                    <a:endParaRPr lang="zh-CN" alt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7"/>
              <c:layout>
                <c:manualLayout>
                  <c:x val="0.0837797208417808"/>
                  <c:y val="-0.086451665221217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其他各税 1399</a:t>
                    </a:r>
                    <a:r>
                      <a:rPr lang="en-US" altLang="zh-CN"/>
                      <a:t>2</a:t>
                    </a:r>
                    <a:r>
                      <a:t>,</a:t>
                    </a:r>
                  </a:p>
                  <a:p>
                    <a:pPr defTabSz="914400">
                      <a:defRPr lang="zh-CN" sz="1000" b="0" i="0" u="none" strike="noStrike" kern="1200" baseline="0">
                        <a:solidFill>
                          <a:schemeClr val="tx1"/>
                        </a:solidFill>
                        <a:latin typeface="+mn-lt"/>
                        <a:ea typeface="+mn-ea"/>
                        <a:cs typeface="+mn-cs"/>
                      </a:defRPr>
                    </a:pPr>
                    <a:r>
                      <a:t> 占比</a:t>
                    </a:r>
                    <a:r>
                      <a:rPr lang="en-US" altLang="zh-CN"/>
                      <a:t>4.4</a:t>
                    </a:r>
                    <a:r>
                      <a:t>%</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75402158419874"/>
                      <c:h val="0.0990822569680489"/>
                    </c:manualLayout>
                  </c15:layout>
                </c:ext>
              </c:extLst>
            </c:dLbl>
            <c:dLbl>
              <c:idx val="8"/>
              <c:layout>
                <c:manualLayout>
                  <c:x val="0.265109253623237"/>
                  <c:y val="0.070912101687077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非税收入, 51006,</a:t>
                    </a:r>
                  </a:p>
                  <a:p>
                    <a:pPr defTabSz="914400">
                      <a:defRPr lang="zh-CN" sz="1000" b="0" i="0" u="none" strike="noStrike" kern="1200" baseline="0">
                        <a:solidFill>
                          <a:schemeClr val="tx1"/>
                        </a:solidFill>
                        <a:latin typeface="+mn-lt"/>
                        <a:ea typeface="+mn-ea"/>
                        <a:cs typeface="+mn-cs"/>
                      </a:defRPr>
                    </a:pPr>
                    <a:r>
                      <a:t> 占比</a:t>
                    </a:r>
                    <a:r>
                      <a:rPr lang="en-US" altLang="zh-CN"/>
                      <a:t>15.9</a:t>
                    </a:r>
                    <a:r>
                      <a:t>%</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87416071041802"/>
                      <c:h val="0.110372340425532"/>
                    </c:manualLayout>
                  </c15:layout>
                </c:ext>
              </c:extLst>
            </c:dLbl>
            <c:dLbl>
              <c:idx val="9"/>
              <c:delete val="1"/>
            </c:dLbl>
            <c:dLbl>
              <c:idx val="10"/>
              <c:delete val="1"/>
            </c:dLbl>
            <c:dLbl>
              <c:idx val="11"/>
              <c:delete val="1"/>
            </c:dLbl>
            <c:dLbl>
              <c:idx val="12"/>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'[收支图(2019-2020).xlsx]2019年收支图'!$A$3:$A$15</c:f>
              <c:strCache>
                <c:ptCount val="13"/>
                <c:pt idx="0" c:formatCode="@">
                  <c:v>      增值税</c:v>
                </c:pt>
                <c:pt idx="1" c:formatCode="@">
                  <c:v>      企业所得税</c:v>
                </c:pt>
                <c:pt idx="2" c:formatCode="@">
                  <c:v>      个人所得税  </c:v>
                </c:pt>
                <c:pt idx="3" c:formatCode="@">
                  <c:v>      城市维护建设税              </c:v>
                </c:pt>
                <c:pt idx="4" c:formatCode="@">
                  <c:v>      房产税</c:v>
                </c:pt>
                <c:pt idx="5" c:formatCode="@">
                  <c:v>      土地增值税</c:v>
                </c:pt>
                <c:pt idx="6" c:formatCode="@">
                  <c:v>      耕地占用税</c:v>
                </c:pt>
                <c:pt idx="7" c:formatCode="@">
                  <c:v>      其他各税           </c:v>
                </c:pt>
                <c:pt idx="8" c:formatCode="@">
                  <c:v>非税收入</c:v>
                </c:pt>
              </c:strCache>
            </c:strRef>
          </c:cat>
          <c:val>
            <c:numRef>
              <c:f>'[收支图(2019-2020).xlsx]2019年收支图'!$B$3:$B$15</c:f>
              <c:numCache>
                <c:formatCode>0_ </c:formatCode>
                <c:ptCount val="13"/>
                <c:pt idx="0">
                  <c:v>120104</c:v>
                </c:pt>
                <c:pt idx="1">
                  <c:v>55736</c:v>
                </c:pt>
                <c:pt idx="2">
                  <c:v>9771</c:v>
                </c:pt>
                <c:pt idx="3">
                  <c:v>19942</c:v>
                </c:pt>
                <c:pt idx="4">
                  <c:v>15828</c:v>
                </c:pt>
                <c:pt idx="5">
                  <c:v>32334</c:v>
                </c:pt>
                <c:pt idx="6">
                  <c:v>2919</c:v>
                </c:pt>
                <c:pt idx="7">
                  <c:v>13991</c:v>
                </c:pt>
                <c:pt idx="8">
                  <c:v>51006</c:v>
                </c:pt>
              </c:numCache>
            </c:numRef>
          </c:val>
        </c:ser>
        <c:ser>
          <c:idx val="1"/>
          <c:order val="1"/>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numFmt formatCode="0%" sourceLinked="0"/>
            <c:spPr>
              <a:noFill/>
              <a:ln w="25400">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'[收支图(2019-2020).xlsx]2019年收支图'!$A$3:$A$15</c:f>
              <c:strCache>
                <c:ptCount val="13"/>
                <c:pt idx="0" c:formatCode="@">
                  <c:v>      增值税</c:v>
                </c:pt>
                <c:pt idx="1" c:formatCode="@">
                  <c:v>      企业所得税</c:v>
                </c:pt>
                <c:pt idx="2" c:formatCode="@">
                  <c:v>      个人所得税  </c:v>
                </c:pt>
                <c:pt idx="3" c:formatCode="@">
                  <c:v>      城市维护建设税              </c:v>
                </c:pt>
                <c:pt idx="4" c:formatCode="@">
                  <c:v>      房产税</c:v>
                </c:pt>
                <c:pt idx="5" c:formatCode="@">
                  <c:v>      土地增值税</c:v>
                </c:pt>
                <c:pt idx="6" c:formatCode="@">
                  <c:v>      耕地占用税</c:v>
                </c:pt>
                <c:pt idx="7" c:formatCode="@">
                  <c:v>      其他各税           </c:v>
                </c:pt>
                <c:pt idx="8" c:formatCode="@">
                  <c:v>非税收入</c:v>
                </c:pt>
              </c:strCache>
            </c:strRef>
          </c:cat>
          <c:val>
            <c:numRef>
              <c:f>'[收支图(2019-2020).xlsx]2019年收支图'!$C$3:$C$15</c:f>
              <c:numCache>
                <c:formatCode>0.0%</c:formatCode>
                <c:ptCount val="13"/>
                <c:pt idx="0">
                  <c:v>0.373421716190293</c:v>
                </c:pt>
                <c:pt idx="1">
                  <c:v>0.173291753593404</c:v>
                </c:pt>
                <c:pt idx="2">
                  <c:v>0.0303795343110583</c:v>
                </c:pt>
                <c:pt idx="3">
                  <c:v>0.0620027298363653</c:v>
                </c:pt>
                <c:pt idx="4">
                  <c:v>0.0492116742478182</c:v>
                </c:pt>
                <c:pt idx="5">
                  <c:v>0.100531354253788</c:v>
                </c:pt>
                <c:pt idx="6">
                  <c:v>0.00907561771097935</c:v>
                </c:pt>
                <c:pt idx="7">
                  <c:v>0.0435001601213813</c:v>
                </c:pt>
                <c:pt idx="8">
                  <c:v>0.158585459734914</c:v>
                </c:pt>
              </c:numCache>
            </c:numRef>
          </c:val>
        </c:ser>
        <c:dLbls>
          <c:showLegendKey val="0"/>
          <c:showVal val="1"/>
          <c:showCatName val="1"/>
          <c:showSerName val="0"/>
          <c:showPercent val="1"/>
          <c:showBubbleSize val="0"/>
          <c:showLeaderLines val="1"/>
        </c:dLbls>
        <c:firstSliceAng val="30"/>
      </c:pieChart>
      <c:spPr>
        <a:noFill/>
        <a:ln>
          <a:noFill/>
        </a:ln>
        <a:effectLst/>
      </c:spPr>
    </c:plotArea>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7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sz="1400" b="1" i="0" strike="noStrike">
                <a:solidFill>
                  <a:srgbClr val="000000"/>
                </a:solidFill>
                <a:latin typeface="Calibri" panose="020F0502020204030204"/>
                <a:cs typeface="Calibri" panose="020F0502020204030204"/>
              </a:rPr>
              <a:t>2019</a:t>
            </a:r>
            <a:r>
              <a:rPr lang="zh-CN" altLang="en-US" sz="1400" b="1" i="0" strike="noStrike">
                <a:solidFill>
                  <a:srgbClr val="000000"/>
                </a:solidFill>
                <a:latin typeface="宋体" panose="02010600030101010101" charset="-122"/>
                <a:ea typeface="宋体" panose="02010600030101010101" charset="-122"/>
              </a:rPr>
              <a:t>年区一般公共预算支出主要科目支出完成情况</a:t>
            </a:r>
            <a:endParaRPr lang="zh-CN" altLang="en-US" sz="1400" b="1" i="0" strike="noStrike">
              <a:solidFill>
                <a:srgbClr val="000000"/>
              </a:solidFill>
              <a:latin typeface="宋体" panose="02010600030101010101" charset="-122"/>
              <a:ea typeface="宋体" panose="02010600030101010101" charset="-122"/>
            </a:endParaRPr>
          </a:p>
          <a:p>
            <a:pPr>
              <a:defRPr lang="zh-CN" sz="7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400" b="1" i="0" strike="noStrike">
                <a:solidFill>
                  <a:srgbClr val="000000"/>
                </a:solidFill>
                <a:latin typeface="宋体" panose="02010600030101010101" charset="-122"/>
                <a:ea typeface="宋体" panose="02010600030101010101" charset="-122"/>
              </a:rPr>
              <a:t>                               （单位：万元）</a:t>
            </a:r>
            <a:endParaRPr lang="zh-CN" altLang="en-US" sz="1400" b="1" i="0" strike="noStrike">
              <a:solidFill>
                <a:srgbClr val="000000"/>
              </a:solidFill>
              <a:latin typeface="宋体" panose="02010600030101010101" charset="-122"/>
              <a:ea typeface="宋体" panose="02010600030101010101" charset="-122"/>
            </a:endParaRPr>
          </a:p>
        </c:rich>
      </c:tx>
      <c:layout>
        <c:manualLayout>
          <c:xMode val="edge"/>
          <c:yMode val="edge"/>
          <c:x val="0.164832214765101"/>
          <c:y val="0.0163487738419619"/>
        </c:manualLayout>
      </c:layout>
      <c:overlay val="0"/>
      <c:spPr>
        <a:noFill/>
        <a:ln w="25400">
          <a:noFill/>
        </a:ln>
      </c:spPr>
    </c:title>
    <c:autoTitleDeleted val="0"/>
    <c:plotArea>
      <c:layout>
        <c:manualLayout>
          <c:layoutTarget val="inner"/>
          <c:xMode val="edge"/>
          <c:yMode val="edge"/>
          <c:x val="0.116778523489933"/>
          <c:y val="0.199223437563916"/>
          <c:w val="0.861744966442953"/>
          <c:h val="0.419618528610354"/>
        </c:manualLayout>
      </c:layout>
      <c:barChart>
        <c:barDir val="col"/>
        <c:grouping val="clustered"/>
        <c:varyColors val="0"/>
        <c:ser>
          <c:idx val="0"/>
          <c:order val="0"/>
          <c:tx>
            <c:strRef>
              <c:f>'[收支图(2019-2020).xlsx]2019年收支图'!$B$41</c:f>
              <c:strCache>
                <c:ptCount val="1"/>
                <c:pt idx="0">
                  <c:v>2019年支出</c:v>
                </c:pt>
              </c:strCache>
            </c:strRef>
          </c:tx>
          <c:spPr>
            <a:solidFill>
              <a:srgbClr val="993366"/>
            </a:solidFill>
            <a:ln w="25400">
              <a:noFill/>
            </a:ln>
          </c:spPr>
          <c:invertIfNegative val="0"/>
          <c:dLbls>
            <c:delete val="1"/>
          </c:dLbls>
          <c:cat>
            <c:strRef>
              <c:f>'[收支图(2019-2020).xlsx]2019年收支图'!$A$42:$A$62</c:f>
              <c:strCache>
                <c:ptCount val="21"/>
                <c:pt idx="0">
                  <c:v>201一般公共服务支出</c:v>
                </c:pt>
                <c:pt idx="1">
                  <c:v>203国防支出</c:v>
                </c:pt>
                <c:pt idx="2">
                  <c:v>204公共安全支出</c:v>
                </c:pt>
                <c:pt idx="3">
                  <c:v>205教育支出</c:v>
                </c:pt>
                <c:pt idx="4">
                  <c:v>206科学技术支出</c:v>
                </c:pt>
                <c:pt idx="5">
                  <c:v>207文化旅游体育与传媒支出</c:v>
                </c:pt>
                <c:pt idx="6">
                  <c:v>208社会保障和就业支出</c:v>
                </c:pt>
                <c:pt idx="7">
                  <c:v>210卫生健康支出</c:v>
                </c:pt>
                <c:pt idx="8">
                  <c:v>211节能环保支出</c:v>
                </c:pt>
                <c:pt idx="9">
                  <c:v>212城乡社区支出</c:v>
                </c:pt>
                <c:pt idx="10">
                  <c:v>213农林水支出</c:v>
                </c:pt>
                <c:pt idx="11">
                  <c:v>214交通运输支出</c:v>
                </c:pt>
                <c:pt idx="12">
                  <c:v>215资源勘探信息等支出</c:v>
                </c:pt>
                <c:pt idx="13">
                  <c:v>216商业服务业等支出</c:v>
                </c:pt>
                <c:pt idx="14">
                  <c:v>217金融支出</c:v>
                </c:pt>
                <c:pt idx="15">
                  <c:v>219援助其他地区支出</c:v>
                </c:pt>
                <c:pt idx="16">
                  <c:v>220自然资源海洋气象等支出</c:v>
                </c:pt>
                <c:pt idx="17">
                  <c:v>221住房保障支出</c:v>
                </c:pt>
                <c:pt idx="18">
                  <c:v>224灾害防治及应急管理支出</c:v>
                </c:pt>
                <c:pt idx="19">
                  <c:v>229其他支出</c:v>
                </c:pt>
                <c:pt idx="20">
                  <c:v>232债务付息支出</c:v>
                </c:pt>
              </c:strCache>
            </c:strRef>
          </c:cat>
          <c:val>
            <c:numRef>
              <c:f>'[收支图(2019-2020).xlsx]2019年收支图'!$B$42:$B$62</c:f>
              <c:numCache>
                <c:formatCode>General</c:formatCode>
                <c:ptCount val="21"/>
                <c:pt idx="0">
                  <c:v>67216</c:v>
                </c:pt>
                <c:pt idx="1">
                  <c:v>108</c:v>
                </c:pt>
                <c:pt idx="2">
                  <c:v>42797</c:v>
                </c:pt>
                <c:pt idx="3">
                  <c:v>90013</c:v>
                </c:pt>
                <c:pt idx="4">
                  <c:v>25177</c:v>
                </c:pt>
                <c:pt idx="5">
                  <c:v>7369</c:v>
                </c:pt>
                <c:pt idx="6">
                  <c:v>26568</c:v>
                </c:pt>
                <c:pt idx="7">
                  <c:v>39296</c:v>
                </c:pt>
                <c:pt idx="8">
                  <c:v>11608</c:v>
                </c:pt>
                <c:pt idx="9">
                  <c:v>38355</c:v>
                </c:pt>
                <c:pt idx="10">
                  <c:v>10978</c:v>
                </c:pt>
                <c:pt idx="11">
                  <c:v>4959</c:v>
                </c:pt>
                <c:pt idx="12">
                  <c:v>4816</c:v>
                </c:pt>
                <c:pt idx="13">
                  <c:v>2086</c:v>
                </c:pt>
                <c:pt idx="14">
                  <c:v>416</c:v>
                </c:pt>
                <c:pt idx="15">
                  <c:v>1179</c:v>
                </c:pt>
                <c:pt idx="16">
                  <c:v>4081</c:v>
                </c:pt>
                <c:pt idx="17">
                  <c:v>13686</c:v>
                </c:pt>
                <c:pt idx="18">
                  <c:v>3629</c:v>
                </c:pt>
                <c:pt idx="19">
                  <c:v>412</c:v>
                </c:pt>
                <c:pt idx="20">
                  <c:v>5233</c:v>
                </c:pt>
              </c:numCache>
            </c:numRef>
          </c:val>
        </c:ser>
        <c:ser>
          <c:idx val="1"/>
          <c:order val="1"/>
          <c:tx>
            <c:strRef>
              <c:f>'[收支图(2019-2020).xlsx]2019年收支图'!$C$41</c:f>
              <c:strCache>
                <c:ptCount val="1"/>
                <c:pt idx="0">
                  <c:v>同比增长</c:v>
                </c:pt>
              </c:strCache>
            </c:strRef>
          </c:tx>
          <c:invertIfNegative val="0"/>
          <c:dLbls>
            <c:delete val="1"/>
          </c:dLbls>
          <c:cat>
            <c:strRef>
              <c:f>'[收支图(2019-2020).xlsx]2019年收支图'!$A$42:$A$62</c:f>
              <c:strCache>
                <c:ptCount val="21"/>
                <c:pt idx="0">
                  <c:v>201一般公共服务支出</c:v>
                </c:pt>
                <c:pt idx="1">
                  <c:v>203国防支出</c:v>
                </c:pt>
                <c:pt idx="2">
                  <c:v>204公共安全支出</c:v>
                </c:pt>
                <c:pt idx="3">
                  <c:v>205教育支出</c:v>
                </c:pt>
                <c:pt idx="4">
                  <c:v>206科学技术支出</c:v>
                </c:pt>
                <c:pt idx="5">
                  <c:v>207文化旅游体育与传媒支出</c:v>
                </c:pt>
                <c:pt idx="6">
                  <c:v>208社会保障和就业支出</c:v>
                </c:pt>
                <c:pt idx="7">
                  <c:v>210卫生健康支出</c:v>
                </c:pt>
                <c:pt idx="8">
                  <c:v>211节能环保支出</c:v>
                </c:pt>
                <c:pt idx="9">
                  <c:v>212城乡社区支出</c:v>
                </c:pt>
                <c:pt idx="10">
                  <c:v>213农林水支出</c:v>
                </c:pt>
                <c:pt idx="11">
                  <c:v>214交通运输支出</c:v>
                </c:pt>
                <c:pt idx="12">
                  <c:v>215资源勘探信息等支出</c:v>
                </c:pt>
                <c:pt idx="13">
                  <c:v>216商业服务业等支出</c:v>
                </c:pt>
                <c:pt idx="14">
                  <c:v>217金融支出</c:v>
                </c:pt>
                <c:pt idx="15">
                  <c:v>219援助其他地区支出</c:v>
                </c:pt>
                <c:pt idx="16">
                  <c:v>220自然资源海洋气象等支出</c:v>
                </c:pt>
                <c:pt idx="17">
                  <c:v>221住房保障支出</c:v>
                </c:pt>
                <c:pt idx="18">
                  <c:v>224灾害防治及应急管理支出</c:v>
                </c:pt>
                <c:pt idx="19">
                  <c:v>229其他支出</c:v>
                </c:pt>
                <c:pt idx="20">
                  <c:v>232债务付息支出</c:v>
                </c:pt>
              </c:strCache>
            </c:strRef>
          </c:cat>
          <c:val>
            <c:numRef>
              <c:f>'[收支图(2019-2020).xlsx]2019年收支图'!$C$42:$C$62</c:f>
              <c:numCache>
                <c:formatCode>0.0%</c:formatCode>
                <c:ptCount val="21"/>
                <c:pt idx="0">
                  <c:v>0.110623661229198</c:v>
                </c:pt>
                <c:pt idx="2">
                  <c:v>0.135431513423893</c:v>
                </c:pt>
                <c:pt idx="3">
                  <c:v>0.266676766733255</c:v>
                </c:pt>
                <c:pt idx="4">
                  <c:v>0.31424544552905</c:v>
                </c:pt>
                <c:pt idx="5">
                  <c:v>0.21882236189216</c:v>
                </c:pt>
                <c:pt idx="6">
                  <c:v>0.190109299408708</c:v>
                </c:pt>
                <c:pt idx="7">
                  <c:v>0.280041695169224</c:v>
                </c:pt>
                <c:pt idx="8">
                  <c:v>-0.257109915449654</c:v>
                </c:pt>
                <c:pt idx="9">
                  <c:v>0.181535333620849</c:v>
                </c:pt>
                <c:pt idx="10">
                  <c:v>-0.155225488687086</c:v>
                </c:pt>
                <c:pt idx="11">
                  <c:v>0.0562300319488818</c:v>
                </c:pt>
                <c:pt idx="12">
                  <c:v>0.201596806387226</c:v>
                </c:pt>
                <c:pt idx="13">
                  <c:v>-0.423756906077348</c:v>
                </c:pt>
                <c:pt idx="14">
                  <c:v>19.8</c:v>
                </c:pt>
                <c:pt idx="15">
                  <c:v>-0.12860310421286</c:v>
                </c:pt>
                <c:pt idx="16">
                  <c:v>0.755905511811024</c:v>
                </c:pt>
                <c:pt idx="17">
                  <c:v>-0.484792592034932</c:v>
                </c:pt>
                <c:pt idx="19">
                  <c:v>-0.283478260869565</c:v>
                </c:pt>
                <c:pt idx="20">
                  <c:v>0.211342592592593</c:v>
                </c:pt>
              </c:numCache>
            </c:numRef>
          </c:val>
        </c:ser>
        <c:ser>
          <c:idx val="2"/>
          <c:order val="2"/>
          <c:tx>
            <c:strRef>
              <c:f>'[收支图(2019-2020).xlsx]2019年收支图'!$D$41</c:f>
              <c:strCache>
                <c:ptCount val="1"/>
                <c:pt idx="0">
                  <c:v>完成调整预算</c:v>
                </c:pt>
              </c:strCache>
            </c:strRef>
          </c:tx>
          <c:invertIfNegative val="0"/>
          <c:dLbls>
            <c:delete val="1"/>
          </c:dLbls>
          <c:cat>
            <c:strRef>
              <c:f>'[收支图(2019-2020).xlsx]2019年收支图'!$A$42:$A$62</c:f>
              <c:strCache>
                <c:ptCount val="21"/>
                <c:pt idx="0">
                  <c:v>201一般公共服务支出</c:v>
                </c:pt>
                <c:pt idx="1">
                  <c:v>203国防支出</c:v>
                </c:pt>
                <c:pt idx="2">
                  <c:v>204公共安全支出</c:v>
                </c:pt>
                <c:pt idx="3">
                  <c:v>205教育支出</c:v>
                </c:pt>
                <c:pt idx="4">
                  <c:v>206科学技术支出</c:v>
                </c:pt>
                <c:pt idx="5">
                  <c:v>207文化旅游体育与传媒支出</c:v>
                </c:pt>
                <c:pt idx="6">
                  <c:v>208社会保障和就业支出</c:v>
                </c:pt>
                <c:pt idx="7">
                  <c:v>210卫生健康支出</c:v>
                </c:pt>
                <c:pt idx="8">
                  <c:v>211节能环保支出</c:v>
                </c:pt>
                <c:pt idx="9">
                  <c:v>212城乡社区支出</c:v>
                </c:pt>
                <c:pt idx="10">
                  <c:v>213农林水支出</c:v>
                </c:pt>
                <c:pt idx="11">
                  <c:v>214交通运输支出</c:v>
                </c:pt>
                <c:pt idx="12">
                  <c:v>215资源勘探信息等支出</c:v>
                </c:pt>
                <c:pt idx="13">
                  <c:v>216商业服务业等支出</c:v>
                </c:pt>
                <c:pt idx="14">
                  <c:v>217金融支出</c:v>
                </c:pt>
                <c:pt idx="15">
                  <c:v>219援助其他地区支出</c:v>
                </c:pt>
                <c:pt idx="16">
                  <c:v>220自然资源海洋气象等支出</c:v>
                </c:pt>
                <c:pt idx="17">
                  <c:v>221住房保障支出</c:v>
                </c:pt>
                <c:pt idx="18">
                  <c:v>224灾害防治及应急管理支出</c:v>
                </c:pt>
                <c:pt idx="19">
                  <c:v>229其他支出</c:v>
                </c:pt>
                <c:pt idx="20">
                  <c:v>232债务付息支出</c:v>
                </c:pt>
              </c:strCache>
            </c:strRef>
          </c:cat>
          <c:val>
            <c:numRef>
              <c:f>'[收支图(2019-2020).xlsx]2019年收支图'!$D$42:$D$62</c:f>
              <c:numCache>
                <c:formatCode>0.0%</c:formatCode>
                <c:ptCount val="21"/>
                <c:pt idx="0">
                  <c:v>0.999212118509269</c:v>
                </c:pt>
                <c:pt idx="1">
                  <c:v>1</c:v>
                </c:pt>
                <c:pt idx="2">
                  <c:v>1</c:v>
                </c:pt>
                <c:pt idx="3">
                  <c:v>0.999966672591539</c:v>
                </c:pt>
                <c:pt idx="4">
                  <c:v>1.01124633489979</c:v>
                </c:pt>
                <c:pt idx="5">
                  <c:v>1</c:v>
                </c:pt>
                <c:pt idx="6">
                  <c:v>1.00018823175093</c:v>
                </c:pt>
                <c:pt idx="7">
                  <c:v>1.00012725560561</c:v>
                </c:pt>
                <c:pt idx="8">
                  <c:v>1</c:v>
                </c:pt>
                <c:pt idx="9">
                  <c:v>0.718850738436165</c:v>
                </c:pt>
                <c:pt idx="10">
                  <c:v>1.00100300902708</c:v>
                </c:pt>
                <c:pt idx="11">
                  <c:v>1</c:v>
                </c:pt>
                <c:pt idx="12">
                  <c:v>0.99586435070306</c:v>
                </c:pt>
                <c:pt idx="13">
                  <c:v>1.17786561264822</c:v>
                </c:pt>
                <c:pt idx="14">
                  <c:v>1</c:v>
                </c:pt>
                <c:pt idx="15">
                  <c:v>1</c:v>
                </c:pt>
                <c:pt idx="16">
                  <c:v>1</c:v>
                </c:pt>
                <c:pt idx="17">
                  <c:v>0.999926937970337</c:v>
                </c:pt>
                <c:pt idx="18">
                  <c:v>0.999724517906336</c:v>
                </c:pt>
                <c:pt idx="19">
                  <c:v>1</c:v>
                </c:pt>
                <c:pt idx="20">
                  <c:v>1</c:v>
                </c:pt>
              </c:numCache>
            </c:numRef>
          </c:val>
        </c:ser>
        <c:dLbls>
          <c:showLegendKey val="0"/>
          <c:showVal val="0"/>
          <c:showCatName val="0"/>
          <c:showSerName val="0"/>
          <c:showPercent val="0"/>
          <c:showBubbleSize val="0"/>
        </c:dLbls>
        <c:gapWidth val="0"/>
        <c:axId val="140972800"/>
        <c:axId val="140974336"/>
      </c:barChart>
      <c:catAx>
        <c:axId val="140972800"/>
        <c:scaling>
          <c:orientation val="minMax"/>
        </c:scaling>
        <c:delete val="0"/>
        <c:axPos val="b"/>
        <c:numFmt formatCode="General" sourceLinked="1"/>
        <c:majorTickMark val="none"/>
        <c:minorTickMark val="none"/>
        <c:tickLblPos val="nextTo"/>
        <c:spPr>
          <a:ln w="19050" cap="flat" cmpd="sng" algn="ctr">
            <a:solidFill>
              <a:schemeClr val="tx1">
                <a:tint val="75000"/>
                <a:shade val="95000"/>
                <a:satMod val="105000"/>
              </a:schemeClr>
            </a:solidFill>
            <a:prstDash val="solid"/>
            <a:round/>
          </a:ln>
        </c:spPr>
        <c:txPr>
          <a:bodyPr rot="-6000000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crossAx val="140974336"/>
        <c:crosses val="autoZero"/>
        <c:auto val="1"/>
        <c:lblAlgn val="ctr"/>
        <c:lblOffset val="100"/>
        <c:noMultiLvlLbl val="0"/>
      </c:catAx>
      <c:valAx>
        <c:axId val="140974336"/>
        <c:scaling>
          <c:orientation val="minMax"/>
          <c:max val="90000"/>
          <c:min val="0"/>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crossAx val="140972800"/>
        <c:crosses val="autoZero"/>
        <c:crossBetween val="between"/>
        <c:majorUnit val="10000"/>
        <c:minorUnit val="2000"/>
      </c:valAx>
      <c:dTable>
        <c:showHorzBorder val="1"/>
        <c:showVertBorder val="1"/>
        <c:showOutline val="1"/>
        <c:showKeys val="1"/>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sz="700" baseline="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sz="1400" b="1" i="0" strike="noStrike">
                <a:solidFill>
                  <a:srgbClr val="000000"/>
                </a:solidFill>
                <a:latin typeface="Calibri" panose="020F0502020204030204"/>
                <a:cs typeface="Calibri" panose="020F0502020204030204"/>
              </a:rPr>
              <a:t>2020</a:t>
            </a:r>
            <a:r>
              <a:rPr lang="zh-CN" altLang="en-US" sz="1400" b="1" i="0" strike="noStrike">
                <a:solidFill>
                  <a:srgbClr val="000000"/>
                </a:solidFill>
                <a:latin typeface="宋体" panose="02010600030101010101" charset="-122"/>
                <a:ea typeface="宋体" panose="02010600030101010101" charset="-122"/>
              </a:rPr>
              <a:t>年区一般公共预算收入主要科目预算安排及占比情况</a:t>
            </a:r>
            <a:endParaRPr lang="zh-CN" altLang="en-US" sz="1400" b="1" i="0" strike="noStrike">
              <a:solidFill>
                <a:srgbClr val="000000"/>
              </a:solidFill>
              <a:latin typeface="宋体" panose="02010600030101010101" charset="-122"/>
              <a:ea typeface="宋体" panose="02010600030101010101" charset="-122"/>
            </a:endParaRPr>
          </a:p>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400" b="1" i="0" strike="noStrike">
                <a:solidFill>
                  <a:srgbClr val="000000"/>
                </a:solidFill>
                <a:latin typeface="Calibri" panose="020F0502020204030204"/>
                <a:cs typeface="Calibri" panose="020F0502020204030204"/>
              </a:rPr>
              <a:t>                                                                                        </a:t>
            </a:r>
            <a:r>
              <a:rPr lang="en-US" altLang="zh-CN" sz="1400" b="1" i="0" strike="noStrike">
                <a:solidFill>
                  <a:srgbClr val="000000"/>
                </a:solidFill>
                <a:latin typeface="Calibri" panose="020F0502020204030204"/>
                <a:cs typeface="Calibri" panose="020F0502020204030204"/>
              </a:rPr>
              <a:t>(</a:t>
            </a:r>
            <a:r>
              <a:rPr lang="zh-CN" altLang="en-US" sz="1400" b="1" i="0" strike="noStrike">
                <a:solidFill>
                  <a:srgbClr val="000000"/>
                </a:solidFill>
                <a:latin typeface="宋体" panose="02010600030101010101" charset="-122"/>
                <a:ea typeface="宋体" panose="02010600030101010101" charset="-122"/>
              </a:rPr>
              <a:t>单位：万元）</a:t>
            </a:r>
            <a:endParaRPr lang="zh-CN" altLang="en-US" sz="1400" b="1" i="0" strike="noStrike">
              <a:solidFill>
                <a:srgbClr val="000000"/>
              </a:solidFill>
              <a:latin typeface="宋体" panose="02010600030101010101" charset="-122"/>
              <a:ea typeface="宋体" panose="02010600030101010101" charset="-122"/>
            </a:endParaRPr>
          </a:p>
        </c:rich>
      </c:tx>
      <c:layout>
        <c:manualLayout>
          <c:xMode val="edge"/>
          <c:yMode val="edge"/>
          <c:x val="0.132831231268731"/>
          <c:y val="0.00639522489874227"/>
        </c:manualLayout>
      </c:layout>
      <c:overlay val="0"/>
      <c:spPr>
        <a:noFill/>
        <a:ln w="25400">
          <a:noFill/>
        </a:ln>
      </c:spPr>
    </c:title>
    <c:autoTitleDeleted val="0"/>
    <c:plotArea>
      <c:layout>
        <c:manualLayout>
          <c:layoutTarget val="inner"/>
          <c:xMode val="edge"/>
          <c:yMode val="edge"/>
          <c:x val="0.315820339406476"/>
          <c:y val="0.278678306516033"/>
          <c:w val="0.479082321187585"/>
          <c:h val="0.635726577656054"/>
        </c:manualLayout>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0"/>
              <c:layout>
                <c:manualLayout>
                  <c:x val="0.0608221138349609"/>
                  <c:y val="0.0026664797991700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增值税</a:t>
                    </a:r>
                    <a:r>
                      <a:rPr lang="en-US" altLang="zh-CN"/>
                      <a:t>, 134485,</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 38.7%</a:t>
                    </a:r>
                    <a:endParaRPr lang="zh-CN" alt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0.0780809079027065"/>
                  <c:y val="0.095966221613602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企业税</a:t>
                    </a:r>
                    <a:r>
                      <a:rPr lang="en-US" altLang="zh-CN"/>
                      <a:t>, 58000 , </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16.7%</a:t>
                    </a:r>
                    <a:endParaRPr lang="en-US" altLang="zh-CN"/>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0.0784460242064884"/>
                  <c:y val="0.10226726007075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个人所得税</a:t>
                    </a:r>
                    <a:r>
                      <a:rPr lang="en-US" altLang="zh-CN"/>
                      <a:t>, 11200, </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3.2%</a:t>
                    </a:r>
                    <a:endParaRPr lang="zh-CN" alt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104917027072021"/>
                  <c:y val="0.06336505762866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城市维护建设税   </a:t>
                    </a:r>
                    <a:r>
                      <a:rPr lang="en-US" altLang="zh-CN"/>
                      <a:t>, 23000 </a:t>
                    </a:r>
                    <a:r>
                      <a:rPr altLang="en-US"/>
                      <a:t>，</a:t>
                    </a:r>
                    <a:endParaRPr altLang="en-US"/>
                  </a:p>
                  <a:p>
                    <a:pPr>
                      <a:defRPr lang="zh-CN" sz="1000" b="0" i="0" u="none" strike="noStrike" kern="1200" baseline="0">
                        <a:solidFill>
                          <a:schemeClr val="tx1"/>
                        </a:solidFill>
                        <a:latin typeface="+mn-lt"/>
                        <a:ea typeface="+mn-ea"/>
                        <a:cs typeface="+mn-cs"/>
                      </a:defRPr>
                    </a:pPr>
                    <a:r>
                      <a:rPr lang="zh-CN" altLang="en-US"/>
                      <a:t>占比</a:t>
                    </a:r>
                    <a:r>
                      <a:rPr lang="en-US" altLang="zh-CN"/>
                      <a:t>6.6%</a:t>
                    </a:r>
                    <a:endParaRPr lang="zh-CN" alt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61978021978022"/>
                      <c:h val="0.141970665663783"/>
                    </c:manualLayout>
                  </c15:layout>
                </c:ext>
              </c:extLst>
            </c:dLbl>
            <c:dLbl>
              <c:idx val="4"/>
              <c:layout>
                <c:manualLayout>
                  <c:x val="-0.141182979657907"/>
                  <c:y val="-0.054441857811251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房产税</a:t>
                    </a:r>
                    <a:r>
                      <a:rPr lang="en-US" altLang="zh-CN"/>
                      <a:t>, 16500 ,</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4.8%</a:t>
                    </a:r>
                    <a:endParaRPr lang="en-US" altLang="zh-CN"/>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5"/>
              <c:layout>
                <c:manualLayout>
                  <c:x val="-0.0821986320535844"/>
                  <c:y val="-0.055525733196393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土地增值税 </a:t>
                    </a:r>
                    <a:r>
                      <a:rPr lang="en-US" altLang="zh-CN"/>
                      <a:t>,35000 , </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10.1%</a:t>
                    </a:r>
                    <a:endParaRPr lang="en-US" altLang="zh-CN"/>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6"/>
              <c:layout>
                <c:manualLayout>
                  <c:x val="-0.00732856931030605"/>
                  <c:y val="-0.058511683899552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altLang="en-US"/>
                      <a:t>耕地占用税</a:t>
                    </a:r>
                    <a:r>
                      <a:rPr lang="en-US" altLang="zh-CN"/>
                      <a:t>, 3500, </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1.0%</a:t>
                    </a:r>
                    <a:endParaRPr lang="zh-CN" alt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7"/>
              <c:layout>
                <c:manualLayout>
                  <c:x val="0.120580304563345"/>
                  <c:y val="-0.00555678959930114"/>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其他各税 , 16000, </a:t>
                    </a:r>
                  </a:p>
                  <a:p>
                    <a:pPr defTabSz="914400">
                      <a:defRPr lang="zh-CN" sz="1000" b="0" i="0" u="none" strike="noStrike" kern="1200" baseline="0">
                        <a:solidFill>
                          <a:schemeClr val="tx1"/>
                        </a:solidFill>
                        <a:latin typeface="+mn-lt"/>
                        <a:ea typeface="+mn-ea"/>
                        <a:cs typeface="+mn-cs"/>
                      </a:defRPr>
                    </a:pPr>
                    <a:r>
                      <a:t>占比4</a:t>
                    </a:r>
                    <a:r>
                      <a:rPr lang="en-US" altLang="zh-CN"/>
                      <a:t>.6</a:t>
                    </a:r>
                    <a:r>
                      <a:t>%</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0404411764706"/>
                      <c:h val="0.115540396503944"/>
                    </c:manualLayout>
                  </c15:layout>
                </c:ext>
              </c:extLst>
            </c:dLbl>
            <c:dLbl>
              <c:idx val="8"/>
              <c:layout>
                <c:manualLayout>
                  <c:x val="0.14446434301814"/>
                  <c:y val="0.110839152666573"/>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非税收入, 49676, </a:t>
                    </a:r>
                  </a:p>
                  <a:p>
                    <a:pPr defTabSz="914400">
                      <a:defRPr lang="zh-CN" sz="1000" b="0" i="0" u="none" strike="noStrike" kern="1200" baseline="0">
                        <a:solidFill>
                          <a:schemeClr val="tx1"/>
                        </a:solidFill>
                        <a:latin typeface="+mn-lt"/>
                        <a:ea typeface="+mn-ea"/>
                        <a:cs typeface="+mn-cs"/>
                      </a:defRPr>
                    </a:pPr>
                    <a:r>
                      <a:t>占比14</a:t>
                    </a:r>
                    <a:r>
                      <a:rPr lang="en-US" altLang="zh-CN"/>
                      <a:t>.3</a:t>
                    </a:r>
                    <a:r>
                      <a:t>%</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375"/>
                      <c:h val="0.115540396503944"/>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'[收支图(2019-2020).xlsx]2020年收支图)'!$A$3:$A$11</c:f>
              <c:strCache>
                <c:ptCount val="9"/>
                <c:pt idx="0" c:formatCode="@">
                  <c:v>      增值税</c:v>
                </c:pt>
                <c:pt idx="1" c:formatCode="@">
                  <c:v>      企业所得税</c:v>
                </c:pt>
                <c:pt idx="2" c:formatCode="@">
                  <c:v>      个人所得税  </c:v>
                </c:pt>
                <c:pt idx="3" c:formatCode="@">
                  <c:v>      城市维护建设税              </c:v>
                </c:pt>
                <c:pt idx="4" c:formatCode="@">
                  <c:v>      房产税</c:v>
                </c:pt>
                <c:pt idx="5" c:formatCode="@">
                  <c:v>      土地增值税</c:v>
                </c:pt>
                <c:pt idx="6" c:formatCode="@">
                  <c:v>      耕地占用税</c:v>
                </c:pt>
                <c:pt idx="7" c:formatCode="@">
                  <c:v>      其他各税           </c:v>
                </c:pt>
                <c:pt idx="8" c:formatCode="@">
                  <c:v>非税收入</c:v>
                </c:pt>
              </c:strCache>
            </c:strRef>
          </c:cat>
          <c:val>
            <c:numRef>
              <c:f>'[收支图(2019-2020).xlsx]2020年收支图)'!$B$3:$B$11</c:f>
              <c:numCache>
                <c:formatCode>0_ </c:formatCode>
                <c:ptCount val="9"/>
                <c:pt idx="0">
                  <c:v>134485</c:v>
                </c:pt>
                <c:pt idx="1">
                  <c:v>58000</c:v>
                </c:pt>
                <c:pt idx="2">
                  <c:v>11200</c:v>
                </c:pt>
                <c:pt idx="3">
                  <c:v>23000</c:v>
                </c:pt>
                <c:pt idx="4">
                  <c:v>16500</c:v>
                </c:pt>
                <c:pt idx="5">
                  <c:v>35000</c:v>
                </c:pt>
                <c:pt idx="6">
                  <c:v>3500</c:v>
                </c:pt>
                <c:pt idx="7" c:formatCode="General">
                  <c:v>16000</c:v>
                </c:pt>
                <c:pt idx="8" c:formatCode="General">
                  <c:v>49676</c:v>
                </c:pt>
              </c:numCache>
            </c:numRef>
          </c:val>
        </c:ser>
        <c:ser>
          <c:idx val="1"/>
          <c:order val="1"/>
          <c:explosion val="0"/>
          <c:dPt>
            <c:idx val="0"/>
            <c:bubble3D val="0"/>
          </c:dPt>
          <c:dPt>
            <c:idx val="1"/>
            <c:bubble3D val="0"/>
          </c:dPt>
          <c:dPt>
            <c:idx val="2"/>
            <c:bubble3D val="0"/>
          </c:dPt>
          <c:dPt>
            <c:idx val="3"/>
            <c:bubble3D val="0"/>
          </c:dPt>
          <c:dPt>
            <c:idx val="4"/>
            <c:bubble3D val="0"/>
          </c:dPt>
          <c:dPt>
            <c:idx val="5"/>
            <c:bubble3D val="0"/>
          </c:dPt>
          <c:dPt>
            <c:idx val="6"/>
            <c:bubble3D val="0"/>
          </c:dPt>
          <c:dLbls>
            <c:numFmt formatCode="0%" sourceLinked="0"/>
            <c:spPr>
              <a:noFill/>
              <a:ln w="25400">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'[收支图(2019-2020).xlsx]2020年收支图)'!$A$3:$A$11</c:f>
              <c:strCache>
                <c:ptCount val="9"/>
                <c:pt idx="0" c:formatCode="@">
                  <c:v>      增值税</c:v>
                </c:pt>
                <c:pt idx="1" c:formatCode="@">
                  <c:v>      企业所得税</c:v>
                </c:pt>
                <c:pt idx="2" c:formatCode="@">
                  <c:v>      个人所得税  </c:v>
                </c:pt>
                <c:pt idx="3" c:formatCode="@">
                  <c:v>      城市维护建设税              </c:v>
                </c:pt>
                <c:pt idx="4" c:formatCode="@">
                  <c:v>      房产税</c:v>
                </c:pt>
                <c:pt idx="5" c:formatCode="@">
                  <c:v>      土地增值税</c:v>
                </c:pt>
                <c:pt idx="6" c:formatCode="@">
                  <c:v>      耕地占用税</c:v>
                </c:pt>
                <c:pt idx="7" c:formatCode="@">
                  <c:v>      其他各税           </c:v>
                </c:pt>
                <c:pt idx="8" c:formatCode="@">
                  <c:v>非税收入</c:v>
                </c:pt>
              </c:strCache>
            </c:strRef>
          </c:cat>
          <c:val>
            <c:numRef>
              <c:f>'[收支图(2019-2020).xlsx]2020年收支图)'!$C$3:$C$9</c:f>
              <c:numCache>
                <c:formatCode>0.0%</c:formatCode>
                <c:ptCount val="7"/>
                <c:pt idx="0">
                  <c:v>0.387162059068232</c:v>
                </c:pt>
                <c:pt idx="1">
                  <c:v>0.166973264125794</c:v>
                </c:pt>
                <c:pt idx="2">
                  <c:v>0.0322431130725672</c:v>
                </c:pt>
                <c:pt idx="3">
                  <c:v>0.0662135357740218</c:v>
                </c:pt>
                <c:pt idx="4">
                  <c:v>0.047501014794407</c:v>
                </c:pt>
                <c:pt idx="5">
                  <c:v>0.100759728351772</c:v>
                </c:pt>
                <c:pt idx="6">
                  <c:v>0.0100759728351772</c:v>
                </c:pt>
              </c:numCache>
            </c:numRef>
          </c:val>
        </c:ser>
        <c:dLbls>
          <c:showLegendKey val="0"/>
          <c:showVal val="1"/>
          <c:showCatName val="1"/>
          <c:showSerName val="0"/>
          <c:showPercent val="1"/>
          <c:showBubbleSize val="0"/>
          <c:showLeaderLines val="1"/>
        </c:dLbls>
        <c:firstSliceAng val="50"/>
      </c:pieChart>
      <c:spPr>
        <a:noFill/>
        <a:ln>
          <a:noFill/>
        </a:ln>
        <a:effectLst/>
      </c:spPr>
    </c:plotArea>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sz="1400" b="1" i="0" strike="noStrike">
                <a:solidFill>
                  <a:srgbClr val="000000"/>
                </a:solidFill>
                <a:latin typeface="Calibri" panose="020F0502020204030204"/>
                <a:cs typeface="Calibri" panose="020F0502020204030204"/>
              </a:rPr>
              <a:t>2020</a:t>
            </a:r>
            <a:r>
              <a:rPr lang="zh-CN" altLang="en-US" sz="1400" b="1" i="0" strike="noStrike">
                <a:solidFill>
                  <a:srgbClr val="000000"/>
                </a:solidFill>
                <a:latin typeface="宋体" panose="02010600030101010101" charset="-122"/>
                <a:ea typeface="宋体" panose="02010600030101010101" charset="-122"/>
              </a:rPr>
              <a:t>年区一般公共预算支出主要科目预算安排情况</a:t>
            </a:r>
            <a:endParaRPr lang="zh-CN" altLang="en-US" sz="1400" b="1" i="0" strike="noStrike">
              <a:solidFill>
                <a:srgbClr val="000000"/>
              </a:solidFill>
              <a:latin typeface="宋体" panose="02010600030101010101" charset="-122"/>
              <a:ea typeface="宋体" panose="02010600030101010101" charset="-122"/>
            </a:endParaRPr>
          </a:p>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400" b="1" i="0" strike="noStrike">
                <a:solidFill>
                  <a:srgbClr val="000000"/>
                </a:solidFill>
                <a:latin typeface="Calibri" panose="020F0502020204030204"/>
                <a:cs typeface="Calibri" panose="020F0502020204030204"/>
              </a:rPr>
              <a:t>                                                                        </a:t>
            </a:r>
            <a:r>
              <a:rPr lang="zh-CN" altLang="en-US" sz="1400" b="1" i="0" strike="noStrike">
                <a:solidFill>
                  <a:srgbClr val="000000"/>
                </a:solidFill>
                <a:latin typeface="宋体" panose="02010600030101010101" charset="-122"/>
                <a:ea typeface="宋体" panose="02010600030101010101" charset="-122"/>
              </a:rPr>
              <a:t>（单位：万元）</a:t>
            </a:r>
            <a:endParaRPr lang="zh-CN" altLang="en-US" sz="1400" b="1" i="0" strike="noStrike">
              <a:solidFill>
                <a:srgbClr val="000000"/>
              </a:solidFill>
              <a:latin typeface="宋体" panose="02010600030101010101" charset="-122"/>
              <a:ea typeface="宋体" panose="02010600030101010101" charset="-122"/>
            </a:endParaRPr>
          </a:p>
        </c:rich>
      </c:tx>
      <c:layout>
        <c:manualLayout>
          <c:xMode val="edge"/>
          <c:yMode val="edge"/>
          <c:x val="0.163150492264416"/>
          <c:y val="0.026525198938992"/>
        </c:manualLayout>
      </c:layout>
      <c:overlay val="0"/>
      <c:spPr>
        <a:noFill/>
        <a:ln w="25400">
          <a:noFill/>
        </a:ln>
      </c:spPr>
    </c:title>
    <c:autoTitleDeleted val="0"/>
    <c:plotArea>
      <c:layout>
        <c:manualLayout>
          <c:layoutTarget val="inner"/>
          <c:xMode val="edge"/>
          <c:yMode val="edge"/>
          <c:x val="0.154494123481808"/>
          <c:y val="0.245082352614113"/>
          <c:w val="0.829817158931083"/>
          <c:h val="0.450928381962865"/>
        </c:manualLayout>
      </c:layout>
      <c:barChart>
        <c:barDir val="col"/>
        <c:grouping val="clustered"/>
        <c:varyColors val="0"/>
        <c:ser>
          <c:idx val="0"/>
          <c:order val="0"/>
          <c:tx>
            <c:strRef>
              <c:f>'[收支图(2019-2020).xlsx]2020年收支图)'!$B$33</c:f>
              <c:strCache>
                <c:ptCount val="1"/>
                <c:pt idx="0">
                  <c:v>预算安排</c:v>
                </c:pt>
              </c:strCache>
            </c:strRef>
          </c:tx>
          <c:spPr>
            <a:solidFill>
              <a:srgbClr val="993366"/>
            </a:solidFill>
            <a:ln w="25400">
              <a:noFill/>
            </a:ln>
          </c:spPr>
          <c:invertIfNegative val="0"/>
          <c:dLbls>
            <c:delete val="1"/>
          </c:dLbls>
          <c:cat>
            <c:strRef>
              <c:f>'[收支图(2019-2020).xlsx]2020年收支图)'!$A$34:$A$55</c:f>
              <c:strCache>
                <c:ptCount val="22"/>
                <c:pt idx="0">
                  <c:v>201一般公共服务支出</c:v>
                </c:pt>
                <c:pt idx="1">
                  <c:v>203国防支出</c:v>
                </c:pt>
                <c:pt idx="2">
                  <c:v>204公共安全支出</c:v>
                </c:pt>
                <c:pt idx="3">
                  <c:v>205教育支出</c:v>
                </c:pt>
                <c:pt idx="4">
                  <c:v>206科学技术支出</c:v>
                </c:pt>
                <c:pt idx="5">
                  <c:v>207文化旅游体育与传媒支出</c:v>
                </c:pt>
                <c:pt idx="6">
                  <c:v>208社会保障和就业支出</c:v>
                </c:pt>
                <c:pt idx="7">
                  <c:v>210卫生健康支出</c:v>
                </c:pt>
                <c:pt idx="8">
                  <c:v>211节能环保支出</c:v>
                </c:pt>
                <c:pt idx="9">
                  <c:v>212城乡社区支出</c:v>
                </c:pt>
                <c:pt idx="10">
                  <c:v>213农林水支出</c:v>
                </c:pt>
                <c:pt idx="11">
                  <c:v>214交通运输支出</c:v>
                </c:pt>
                <c:pt idx="12">
                  <c:v>215资源勘探信息等支出</c:v>
                </c:pt>
                <c:pt idx="13">
                  <c:v>216商业服务业等支出</c:v>
                </c:pt>
                <c:pt idx="14">
                  <c:v>217金融支出</c:v>
                </c:pt>
                <c:pt idx="15">
                  <c:v>219援助其他地区支出</c:v>
                </c:pt>
                <c:pt idx="16">
                  <c:v>220自然资源海洋气象等支出</c:v>
                </c:pt>
                <c:pt idx="17">
                  <c:v>221住房保障支出</c:v>
                </c:pt>
                <c:pt idx="18">
                  <c:v>224灾害防治及应急管理支出</c:v>
                </c:pt>
                <c:pt idx="19">
                  <c:v>227预备费</c:v>
                </c:pt>
                <c:pt idx="20">
                  <c:v>229其他支出</c:v>
                </c:pt>
                <c:pt idx="21">
                  <c:v>232债务付息支出</c:v>
                </c:pt>
              </c:strCache>
            </c:strRef>
          </c:cat>
          <c:val>
            <c:numRef>
              <c:f>'[收支图(2019-2020).xlsx]2020年收支图)'!$B$34:$B$55</c:f>
              <c:numCache>
                <c:formatCode>General</c:formatCode>
                <c:ptCount val="22"/>
                <c:pt idx="0">
                  <c:v>69000</c:v>
                </c:pt>
                <c:pt idx="1">
                  <c:v>56</c:v>
                </c:pt>
                <c:pt idx="2">
                  <c:v>41630</c:v>
                </c:pt>
                <c:pt idx="3">
                  <c:v>96500</c:v>
                </c:pt>
                <c:pt idx="4">
                  <c:v>29200</c:v>
                </c:pt>
                <c:pt idx="5">
                  <c:v>7400</c:v>
                </c:pt>
                <c:pt idx="6">
                  <c:v>32808</c:v>
                </c:pt>
                <c:pt idx="7">
                  <c:v>41675</c:v>
                </c:pt>
                <c:pt idx="8">
                  <c:v>6300</c:v>
                </c:pt>
                <c:pt idx="9">
                  <c:v>48400</c:v>
                </c:pt>
                <c:pt idx="10">
                  <c:v>27000</c:v>
                </c:pt>
                <c:pt idx="11">
                  <c:v>4500</c:v>
                </c:pt>
                <c:pt idx="12">
                  <c:v>3700</c:v>
                </c:pt>
                <c:pt idx="13">
                  <c:v>2100</c:v>
                </c:pt>
                <c:pt idx="14">
                  <c:v>410</c:v>
                </c:pt>
                <c:pt idx="15">
                  <c:v>1280</c:v>
                </c:pt>
                <c:pt idx="16">
                  <c:v>770</c:v>
                </c:pt>
                <c:pt idx="17">
                  <c:v>15000</c:v>
                </c:pt>
                <c:pt idx="18">
                  <c:v>4450</c:v>
                </c:pt>
                <c:pt idx="19">
                  <c:v>4500</c:v>
                </c:pt>
                <c:pt idx="20">
                  <c:v>500</c:v>
                </c:pt>
                <c:pt idx="21">
                  <c:v>5306</c:v>
                </c:pt>
              </c:numCache>
            </c:numRef>
          </c:val>
        </c:ser>
        <c:ser>
          <c:idx val="1"/>
          <c:order val="1"/>
          <c:tx>
            <c:strRef>
              <c:f>'[收支图(2019-2020).xlsx]2020年收支图)'!$C$33</c:f>
              <c:strCache>
                <c:ptCount val="1"/>
                <c:pt idx="0">
                  <c:v>比上年增长</c:v>
                </c:pt>
              </c:strCache>
            </c:strRef>
          </c:tx>
          <c:invertIfNegative val="0"/>
          <c:dLbls>
            <c:delete val="1"/>
          </c:dLbls>
          <c:cat>
            <c:strRef>
              <c:f>'[收支图(2019-2020).xlsx]2020年收支图)'!$A$34:$A$55</c:f>
              <c:strCache>
                <c:ptCount val="22"/>
                <c:pt idx="0">
                  <c:v>201一般公共服务支出</c:v>
                </c:pt>
                <c:pt idx="1">
                  <c:v>203国防支出</c:v>
                </c:pt>
                <c:pt idx="2">
                  <c:v>204公共安全支出</c:v>
                </c:pt>
                <c:pt idx="3">
                  <c:v>205教育支出</c:v>
                </c:pt>
                <c:pt idx="4">
                  <c:v>206科学技术支出</c:v>
                </c:pt>
                <c:pt idx="5">
                  <c:v>207文化旅游体育与传媒支出</c:v>
                </c:pt>
                <c:pt idx="6">
                  <c:v>208社会保障和就业支出</c:v>
                </c:pt>
                <c:pt idx="7">
                  <c:v>210卫生健康支出</c:v>
                </c:pt>
                <c:pt idx="8">
                  <c:v>211节能环保支出</c:v>
                </c:pt>
                <c:pt idx="9">
                  <c:v>212城乡社区支出</c:v>
                </c:pt>
                <c:pt idx="10">
                  <c:v>213农林水支出</c:v>
                </c:pt>
                <c:pt idx="11">
                  <c:v>214交通运输支出</c:v>
                </c:pt>
                <c:pt idx="12">
                  <c:v>215资源勘探信息等支出</c:v>
                </c:pt>
                <c:pt idx="13">
                  <c:v>216商业服务业等支出</c:v>
                </c:pt>
                <c:pt idx="14">
                  <c:v>217金融支出</c:v>
                </c:pt>
                <c:pt idx="15">
                  <c:v>219援助其他地区支出</c:v>
                </c:pt>
                <c:pt idx="16">
                  <c:v>220自然资源海洋气象等支出</c:v>
                </c:pt>
                <c:pt idx="17">
                  <c:v>221住房保障支出</c:v>
                </c:pt>
                <c:pt idx="18">
                  <c:v>224灾害防治及应急管理支出</c:v>
                </c:pt>
                <c:pt idx="19">
                  <c:v>227预备费</c:v>
                </c:pt>
                <c:pt idx="20">
                  <c:v>229其他支出</c:v>
                </c:pt>
                <c:pt idx="21">
                  <c:v>232债务付息支出</c:v>
                </c:pt>
              </c:strCache>
            </c:strRef>
          </c:cat>
          <c:val>
            <c:numRef>
              <c:f>'[收支图(2019-2020).xlsx]2020年收支图)'!$C$34:$C$55</c:f>
              <c:numCache>
                <c:formatCode>0.0%</c:formatCode>
                <c:ptCount val="22"/>
                <c:pt idx="0">
                  <c:v>0.027</c:v>
                </c:pt>
                <c:pt idx="1">
                  <c:v>-0.481</c:v>
                </c:pt>
                <c:pt idx="2">
                  <c:v>-0.027</c:v>
                </c:pt>
                <c:pt idx="3">
                  <c:v>0.072</c:v>
                </c:pt>
                <c:pt idx="4">
                  <c:v>0.16</c:v>
                </c:pt>
                <c:pt idx="5">
                  <c:v>0.004</c:v>
                </c:pt>
                <c:pt idx="6">
                  <c:v>0.235</c:v>
                </c:pt>
                <c:pt idx="7">
                  <c:v>0.061</c:v>
                </c:pt>
                <c:pt idx="8">
                  <c:v>-0.457</c:v>
                </c:pt>
                <c:pt idx="9">
                  <c:v>0.262</c:v>
                </c:pt>
                <c:pt idx="10">
                  <c:v>1.459</c:v>
                </c:pt>
                <c:pt idx="11">
                  <c:v>-0.093</c:v>
                </c:pt>
                <c:pt idx="12">
                  <c:v>-0.232</c:v>
                </c:pt>
                <c:pt idx="13">
                  <c:v>0.007</c:v>
                </c:pt>
                <c:pt idx="14">
                  <c:v>-0.014</c:v>
                </c:pt>
                <c:pt idx="15">
                  <c:v>0.086</c:v>
                </c:pt>
                <c:pt idx="16">
                  <c:v>-0.811</c:v>
                </c:pt>
                <c:pt idx="17">
                  <c:v>0.096</c:v>
                </c:pt>
                <c:pt idx="18">
                  <c:v>0.226</c:v>
                </c:pt>
                <c:pt idx="20">
                  <c:v>0.214</c:v>
                </c:pt>
                <c:pt idx="21">
                  <c:v>0.014</c:v>
                </c:pt>
              </c:numCache>
            </c:numRef>
          </c:val>
        </c:ser>
        <c:ser>
          <c:idx val="2"/>
          <c:order val="2"/>
          <c:tx>
            <c:strRef>
              <c:f>'[收支图(2019-2020).xlsx]2020年收支图)'!$D$33</c:f>
              <c:strCache>
                <c:ptCount val="1"/>
                <c:pt idx="0">
                  <c:v>同比增长</c:v>
                </c:pt>
              </c:strCache>
            </c:strRef>
          </c:tx>
          <c:invertIfNegative val="0"/>
          <c:dLbls>
            <c:delete val="1"/>
          </c:dLbls>
          <c:cat>
            <c:strRef>
              <c:f>'[收支图(2019-2020).xlsx]2020年收支图)'!$A$34:$A$55</c:f>
              <c:strCache>
                <c:ptCount val="22"/>
                <c:pt idx="0">
                  <c:v>201一般公共服务支出</c:v>
                </c:pt>
                <c:pt idx="1">
                  <c:v>203国防支出</c:v>
                </c:pt>
                <c:pt idx="2">
                  <c:v>204公共安全支出</c:v>
                </c:pt>
                <c:pt idx="3">
                  <c:v>205教育支出</c:v>
                </c:pt>
                <c:pt idx="4">
                  <c:v>206科学技术支出</c:v>
                </c:pt>
                <c:pt idx="5">
                  <c:v>207文化旅游体育与传媒支出</c:v>
                </c:pt>
                <c:pt idx="6">
                  <c:v>208社会保障和就业支出</c:v>
                </c:pt>
                <c:pt idx="7">
                  <c:v>210卫生健康支出</c:v>
                </c:pt>
                <c:pt idx="8">
                  <c:v>211节能环保支出</c:v>
                </c:pt>
                <c:pt idx="9">
                  <c:v>212城乡社区支出</c:v>
                </c:pt>
                <c:pt idx="10">
                  <c:v>213农林水支出</c:v>
                </c:pt>
                <c:pt idx="11">
                  <c:v>214交通运输支出</c:v>
                </c:pt>
                <c:pt idx="12">
                  <c:v>215资源勘探信息等支出</c:v>
                </c:pt>
                <c:pt idx="13">
                  <c:v>216商业服务业等支出</c:v>
                </c:pt>
                <c:pt idx="14">
                  <c:v>217金融支出</c:v>
                </c:pt>
                <c:pt idx="15">
                  <c:v>219援助其他地区支出</c:v>
                </c:pt>
                <c:pt idx="16">
                  <c:v>220自然资源海洋气象等支出</c:v>
                </c:pt>
                <c:pt idx="17">
                  <c:v>221住房保障支出</c:v>
                </c:pt>
                <c:pt idx="18">
                  <c:v>224灾害防治及应急管理支出</c:v>
                </c:pt>
                <c:pt idx="19">
                  <c:v>227预备费</c:v>
                </c:pt>
                <c:pt idx="20">
                  <c:v>229其他支出</c:v>
                </c:pt>
                <c:pt idx="21">
                  <c:v>232债务付息支出</c:v>
                </c:pt>
              </c:strCache>
            </c:strRef>
          </c:cat>
          <c:val>
            <c:numRef>
              <c:f>'[收支图(2019-2020).xlsx]2020年收支图)'!$D$34:$D$55</c:f>
              <c:numCache>
                <c:formatCode>0.0%</c:formatCode>
                <c:ptCount val="22"/>
                <c:pt idx="0">
                  <c:v>-0.003</c:v>
                </c:pt>
                <c:pt idx="1">
                  <c:v>-0.481481481481482</c:v>
                </c:pt>
                <c:pt idx="2">
                  <c:v>-0.027</c:v>
                </c:pt>
                <c:pt idx="3">
                  <c:v>0.0533950404089245</c:v>
                </c:pt>
                <c:pt idx="4">
                  <c:v>0.100210509592088</c:v>
                </c:pt>
                <c:pt idx="5">
                  <c:v>0.00420681232188902</c:v>
                </c:pt>
                <c:pt idx="6">
                  <c:v>0.053</c:v>
                </c:pt>
                <c:pt idx="7">
                  <c:v>-0.043</c:v>
                </c:pt>
                <c:pt idx="8">
                  <c:v>-0.457</c:v>
                </c:pt>
                <c:pt idx="9">
                  <c:v>0.001</c:v>
                </c:pt>
                <c:pt idx="10">
                  <c:v>1.438</c:v>
                </c:pt>
                <c:pt idx="11">
                  <c:v>-0.0925589836660617</c:v>
                </c:pt>
                <c:pt idx="12">
                  <c:v>-0.231727574750831</c:v>
                </c:pt>
                <c:pt idx="13">
                  <c:v>0.00671140939597326</c:v>
                </c:pt>
                <c:pt idx="14">
                  <c:v>-0.0144230769230769</c:v>
                </c:pt>
                <c:pt idx="15">
                  <c:v>0.0856658184902459</c:v>
                </c:pt>
                <c:pt idx="16">
                  <c:v>-0.13677130044843</c:v>
                </c:pt>
                <c:pt idx="17">
                  <c:v>0.0960105217010083</c:v>
                </c:pt>
                <c:pt idx="18">
                  <c:v>0.02</c:v>
                </c:pt>
                <c:pt idx="20">
                  <c:v>0.213592233009709</c:v>
                </c:pt>
                <c:pt idx="21">
                  <c:v>0.013949933116759</c:v>
                </c:pt>
              </c:numCache>
            </c:numRef>
          </c:val>
        </c:ser>
        <c:dLbls>
          <c:showLegendKey val="0"/>
          <c:showVal val="0"/>
          <c:showCatName val="0"/>
          <c:showSerName val="0"/>
          <c:showPercent val="0"/>
          <c:showBubbleSize val="0"/>
        </c:dLbls>
        <c:gapWidth val="0"/>
        <c:axId val="141145216"/>
        <c:axId val="141146752"/>
      </c:barChart>
      <c:catAx>
        <c:axId val="1411452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141146752"/>
        <c:crosses val="autoZero"/>
        <c:auto val="1"/>
        <c:lblAlgn val="ctr"/>
        <c:lblOffset val="100"/>
        <c:noMultiLvlLbl val="0"/>
      </c:catAx>
      <c:valAx>
        <c:axId val="141146752"/>
        <c:scaling>
          <c:orientation val="minMax"/>
          <c:max val="100000"/>
          <c:min val="0"/>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141145216"/>
        <c:crosses val="autoZero"/>
        <c:crossBetween val="between"/>
        <c:majorUnit val="10000"/>
      </c:valAx>
      <c:dTable>
        <c:showHorzBorder val="1"/>
        <c:showVertBorder val="1"/>
        <c:showOutline val="1"/>
        <c:showKeys val="1"/>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sz="800" baseline="0"/>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25388</Words>
  <Characters>41861</Characters>
  <Lines>0</Lines>
  <Paragraphs>0</Paragraphs>
  <TotalTime>11</TotalTime>
  <ScaleCrop>false</ScaleCrop>
  <LinksUpToDate>false</LinksUpToDate>
  <CharactersWithSpaces>47776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2019-12-05T06:32:00Z</dcterms:created>
  <dc:creator>xianglili</dc:creator>
  <cp:lastModifiedBy>xianglili</cp:lastModifiedBy>
  <cp:lastPrinted>2020-04-21T03:35:00Z</cp:lastPrinted>
  <dcterms:modified xsi:type="dcterms:W3CDTF">2020-04-21T08:13:02Z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