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EB" w:rsidRDefault="00D34CEB" w:rsidP="00D34CEB">
      <w:pPr>
        <w:pStyle w:val="a0"/>
        <w:jc w:val="center"/>
        <w:rPr>
          <w:rFonts w:cs="Times New Roman"/>
        </w:rPr>
      </w:pPr>
      <w:r>
        <w:rPr>
          <w:rFonts w:ascii="创艺简标宋" w:eastAsia="创艺简标宋" w:hAnsi="创艺简标宋" w:cs="创艺简标宋"/>
          <w:sz w:val="36"/>
          <w:szCs w:val="36"/>
        </w:rPr>
        <w:t>2021</w:t>
      </w:r>
      <w:r>
        <w:rPr>
          <w:rFonts w:ascii="创艺简标宋" w:eastAsia="创艺简标宋" w:hAnsi="创艺简标宋" w:cs="创艺简标宋" w:hint="eastAsia"/>
          <w:sz w:val="36"/>
          <w:szCs w:val="36"/>
        </w:rPr>
        <w:t>年上半年龙湾区本级国有资本经营预算执行情况</w:t>
      </w:r>
    </w:p>
    <w:tbl>
      <w:tblPr>
        <w:tblW w:w="9120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85"/>
        <w:gridCol w:w="754"/>
        <w:gridCol w:w="728"/>
        <w:gridCol w:w="649"/>
        <w:gridCol w:w="595"/>
        <w:gridCol w:w="1430"/>
        <w:gridCol w:w="917"/>
        <w:gridCol w:w="687"/>
        <w:gridCol w:w="688"/>
        <w:gridCol w:w="687"/>
      </w:tblGrid>
      <w:tr w:rsidR="00D34CEB" w:rsidTr="00E204AF">
        <w:trPr>
          <w:trHeight w:val="622"/>
        </w:trPr>
        <w:tc>
          <w:tcPr>
            <w:tcW w:w="1985" w:type="dxa"/>
            <w:vAlign w:val="center"/>
          </w:tcPr>
          <w:p w:rsidR="00D34CEB" w:rsidRDefault="00D34CEB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D34CEB" w:rsidRDefault="00D34CEB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D34CEB" w:rsidRDefault="00D34CEB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D34CEB" w:rsidRDefault="00D34CEB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D34CEB" w:rsidRDefault="00D34CEB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34CEB" w:rsidRDefault="00D34CEB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D34CEB" w:rsidRDefault="00D34CEB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D34CEB" w:rsidRDefault="00D34CEB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D34CEB" w:rsidRDefault="00D34CEB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D34CEB" w:rsidTr="00E204AF">
        <w:trPr>
          <w:trHeight w:val="9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项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2021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年预算数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上半年执行数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完成预算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%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同比增长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+-%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项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2021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年预算数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上半年执行数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完成预算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%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同比增长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+-%</w:t>
            </w:r>
          </w:p>
        </w:tc>
      </w:tr>
      <w:tr w:rsidR="00D34CEB" w:rsidTr="00E204AF">
        <w:trPr>
          <w:trHeight w:val="63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国有资本经营预算收入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0.0%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国有资本经营预算支出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30.88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</w:tr>
      <w:tr w:rsidR="00D34CEB" w:rsidTr="00E204AF">
        <w:trPr>
          <w:trHeight w:val="9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ind w:firstLineChars="100" w:firstLine="240"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利润收入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ind w:firstLineChars="100" w:firstLine="240"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其他国有资本经营预算支出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D34CEB" w:rsidTr="00E204AF">
        <w:trPr>
          <w:trHeight w:val="9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ind w:firstLineChars="200" w:firstLine="480"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其他国有资本经营预算企业利润收入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ind w:firstLineChars="200" w:firstLine="480"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其他国有资本经营预算支出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D34CEB" w:rsidTr="00E204AF">
        <w:trPr>
          <w:trHeight w:val="9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上级转移支付收入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0.88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0.88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解决历史遗留问题及改革成本支出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0.88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D34CEB" w:rsidTr="00E204AF">
        <w:trPr>
          <w:trHeight w:val="9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国有企业退休人员社会化管理补助支出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0.88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D34CEB" w:rsidTr="00E204AF">
        <w:trPr>
          <w:trHeight w:val="3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收入合计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30.88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0.88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2.8%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支出合计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30.88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EB" w:rsidRDefault="00D34CE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</w:tr>
    </w:tbl>
    <w:p w:rsidR="001A39E4" w:rsidRDefault="001A39E4">
      <w:bookmarkStart w:id="0" w:name="_GoBack"/>
      <w:bookmarkEnd w:id="0"/>
    </w:p>
    <w:sectPr w:rsidR="001A3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D7"/>
    <w:rsid w:val="001A39E4"/>
    <w:rsid w:val="00885FD7"/>
    <w:rsid w:val="00D3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47A2D-0EC4-4435-B8E1-8A7A4E0E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34CE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endnote text"/>
    <w:basedOn w:val="a"/>
    <w:link w:val="Char"/>
    <w:uiPriority w:val="99"/>
    <w:semiHidden/>
    <w:rsid w:val="00D34CEB"/>
    <w:pPr>
      <w:snapToGrid w:val="0"/>
      <w:jc w:val="left"/>
    </w:pPr>
  </w:style>
  <w:style w:type="character" w:customStyle="1" w:styleId="Char">
    <w:name w:val="尾注文本 Char"/>
    <w:basedOn w:val="a1"/>
    <w:link w:val="a0"/>
    <w:uiPriority w:val="99"/>
    <w:semiHidden/>
    <w:rsid w:val="00D34CEB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区财政局（国资办）</dc:creator>
  <cp:keywords/>
  <dc:description/>
  <cp:lastModifiedBy>区财政局（国资办）</cp:lastModifiedBy>
  <cp:revision>2</cp:revision>
  <dcterms:created xsi:type="dcterms:W3CDTF">2021-09-01T10:04:00Z</dcterms:created>
  <dcterms:modified xsi:type="dcterms:W3CDTF">2021-09-01T10:04:00Z</dcterms:modified>
</cp:coreProperties>
</file>