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ascii="仿宋_GB2312" w:hAnsi="仿宋_GB2312" w:eastAsia="仿宋_GB2312" w:cs="仿宋_GB2312"/>
          <w:bCs/>
          <w:kern w:val="0"/>
          <w:sz w:val="44"/>
          <w:szCs w:val="44"/>
        </w:rPr>
      </w:pPr>
      <w:r>
        <w:rPr>
          <w:rFonts w:hint="eastAsia" w:ascii="仿宋_GB2312" w:hAnsi="仿宋_GB2312" w:eastAsia="仿宋_GB2312" w:cs="仿宋_GB2312"/>
          <w:bCs/>
          <w:kern w:val="0"/>
          <w:sz w:val="44"/>
          <w:szCs w:val="44"/>
        </w:rPr>
        <w:t>龙湾区行政事业单位</w:t>
      </w:r>
    </w:p>
    <w:p>
      <w:pPr>
        <w:widowControl/>
        <w:adjustRightInd w:val="0"/>
        <w:snapToGrid w:val="0"/>
        <w:jc w:val="center"/>
        <w:rPr>
          <w:rFonts w:ascii="仿宋_GB2312" w:hAnsi="仿宋_GB2312" w:eastAsia="仿宋_GB2312" w:cs="仿宋_GB2312"/>
          <w:kern w:val="0"/>
          <w:sz w:val="44"/>
          <w:szCs w:val="44"/>
        </w:rPr>
      </w:pPr>
      <w:r>
        <w:rPr>
          <w:rFonts w:hint="eastAsia" w:ascii="仿宋_GB2312" w:hAnsi="仿宋_GB2312" w:eastAsia="仿宋_GB2312" w:cs="仿宋_GB2312"/>
          <w:bCs/>
          <w:kern w:val="0"/>
          <w:sz w:val="44"/>
          <w:szCs w:val="44"/>
        </w:rPr>
        <w:t>国有资产处置管理暂行办法</w:t>
      </w:r>
    </w:p>
    <w:p>
      <w:pPr>
        <w:snapToGrid w:val="0"/>
        <w:spacing w:line="338" w:lineRule="auto"/>
        <w:rPr>
          <w:rFonts w:ascii="仿宋_GB2312" w:hAnsi="仿宋_GB2312" w:eastAsia="仿宋_GB2312" w:cs="仿宋_GB2312"/>
          <w:spacing w:val="-4"/>
          <w:sz w:val="32"/>
          <w:szCs w:val="32"/>
        </w:rPr>
      </w:pPr>
    </w:p>
    <w:p>
      <w:pPr>
        <w:snapToGrid w:val="0"/>
        <w:spacing w:line="338" w:lineRule="auto"/>
        <w:jc w:val="center"/>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第一章</w:t>
      </w:r>
      <w:r>
        <w:rPr>
          <w:rFonts w:ascii="仿宋_GB2312" w:hAnsi="仿宋_GB2312" w:eastAsia="仿宋_GB2312" w:cs="仿宋_GB2312"/>
          <w:spacing w:val="-4"/>
          <w:sz w:val="32"/>
          <w:szCs w:val="32"/>
        </w:rPr>
        <w:t xml:space="preserve">  </w:t>
      </w:r>
      <w:r>
        <w:rPr>
          <w:rFonts w:hint="eastAsia" w:ascii="仿宋_GB2312" w:hAnsi="仿宋_GB2312" w:eastAsia="仿宋_GB2312" w:cs="仿宋_GB2312"/>
          <w:spacing w:val="-4"/>
          <w:sz w:val="32"/>
          <w:szCs w:val="32"/>
        </w:rPr>
        <w:t>总</w:t>
      </w:r>
      <w:r>
        <w:rPr>
          <w:rFonts w:ascii="仿宋_GB2312" w:hAnsi="仿宋_GB2312" w:eastAsia="仿宋_GB2312" w:cs="仿宋_GB2312"/>
          <w:spacing w:val="-4"/>
          <w:sz w:val="32"/>
          <w:szCs w:val="32"/>
        </w:rPr>
        <w:t xml:space="preserve">  </w:t>
      </w:r>
      <w:r>
        <w:rPr>
          <w:rFonts w:hint="eastAsia" w:ascii="仿宋_GB2312" w:hAnsi="仿宋_GB2312" w:eastAsia="仿宋_GB2312" w:cs="仿宋_GB2312"/>
          <w:spacing w:val="-4"/>
          <w:sz w:val="32"/>
          <w:szCs w:val="32"/>
        </w:rPr>
        <w:t>则</w:t>
      </w:r>
    </w:p>
    <w:p>
      <w:pPr>
        <w:snapToGrid w:val="0"/>
        <w:spacing w:line="338" w:lineRule="auto"/>
        <w:rPr>
          <w:rFonts w:ascii="仿宋_GB2312" w:eastAsia="仿宋_GB2312"/>
          <w:spacing w:val="-4"/>
          <w:sz w:val="32"/>
          <w:szCs w:val="32"/>
        </w:rPr>
      </w:pP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第一条</w:t>
      </w:r>
      <w:r>
        <w:rPr>
          <w:rFonts w:ascii="黑体" w:eastAsia="黑体"/>
          <w:spacing w:val="-4"/>
          <w:sz w:val="32"/>
          <w:szCs w:val="32"/>
        </w:rPr>
        <w:t xml:space="preserve"> </w:t>
      </w:r>
      <w:r>
        <w:rPr>
          <w:rFonts w:ascii="仿宋_GB2312" w:eastAsia="仿宋_GB2312"/>
          <w:spacing w:val="-4"/>
          <w:sz w:val="32"/>
          <w:szCs w:val="32"/>
        </w:rPr>
        <w:t xml:space="preserve"> </w:t>
      </w:r>
      <w:r>
        <w:rPr>
          <w:rFonts w:hint="eastAsia" w:ascii="仿宋_GB2312" w:eastAsia="仿宋_GB2312"/>
          <w:spacing w:val="-4"/>
          <w:sz w:val="32"/>
          <w:szCs w:val="32"/>
        </w:rPr>
        <w:t>为加强全区行政事业单位国有资产管理，规范国有资产处置行为，根据《行政单位国有资产管理暂行办法》（财政部令第</w:t>
      </w:r>
      <w:r>
        <w:rPr>
          <w:rFonts w:ascii="仿宋_GB2312" w:eastAsia="仿宋_GB2312"/>
          <w:spacing w:val="-4"/>
          <w:sz w:val="32"/>
          <w:szCs w:val="32"/>
        </w:rPr>
        <w:t>35</w:t>
      </w:r>
      <w:r>
        <w:rPr>
          <w:rFonts w:hint="eastAsia" w:ascii="仿宋_GB2312" w:eastAsia="仿宋_GB2312"/>
          <w:spacing w:val="-4"/>
          <w:sz w:val="32"/>
          <w:szCs w:val="32"/>
        </w:rPr>
        <w:t>号）、《事业单位国有资产管理暂行办法》（财政部令第</w:t>
      </w:r>
      <w:r>
        <w:rPr>
          <w:rFonts w:ascii="仿宋_GB2312" w:eastAsia="仿宋_GB2312"/>
          <w:spacing w:val="-4"/>
          <w:sz w:val="32"/>
          <w:szCs w:val="32"/>
        </w:rPr>
        <w:t>36</w:t>
      </w:r>
      <w:r>
        <w:rPr>
          <w:rFonts w:hint="eastAsia" w:ascii="仿宋_GB2312" w:eastAsia="仿宋_GB2312"/>
          <w:spacing w:val="-4"/>
          <w:sz w:val="32"/>
          <w:szCs w:val="32"/>
        </w:rPr>
        <w:t>号）和《龙湾区（高新区）行政事业单位国有资产管理暂行办法》（温龙政办发〔</w:t>
      </w:r>
      <w:r>
        <w:rPr>
          <w:rFonts w:ascii="仿宋_GB2312" w:eastAsia="仿宋_GB2312"/>
          <w:spacing w:val="-4"/>
          <w:sz w:val="32"/>
          <w:szCs w:val="32"/>
        </w:rPr>
        <w:t>2013</w:t>
      </w:r>
      <w:r>
        <w:rPr>
          <w:rFonts w:hint="eastAsia" w:ascii="仿宋_GB2312" w:eastAsia="仿宋_GB2312"/>
          <w:spacing w:val="-4"/>
          <w:sz w:val="32"/>
          <w:szCs w:val="32"/>
        </w:rPr>
        <w:t>〕</w:t>
      </w:r>
      <w:r>
        <w:rPr>
          <w:rFonts w:ascii="仿宋_GB2312" w:eastAsia="仿宋_GB2312"/>
          <w:spacing w:val="-4"/>
          <w:sz w:val="32"/>
          <w:szCs w:val="32"/>
        </w:rPr>
        <w:t>192</w:t>
      </w:r>
      <w:r>
        <w:rPr>
          <w:rFonts w:hint="eastAsia" w:ascii="仿宋_GB2312" w:eastAsia="仿宋_GB2312"/>
          <w:spacing w:val="-4"/>
          <w:sz w:val="32"/>
          <w:szCs w:val="32"/>
        </w:rPr>
        <w:t>号）等有关规定，结合我区实际情况，制定本办法。</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第二条</w:t>
      </w:r>
      <w:r>
        <w:rPr>
          <w:rFonts w:ascii="黑体" w:eastAsia="黑体"/>
          <w:spacing w:val="-4"/>
          <w:sz w:val="32"/>
          <w:szCs w:val="32"/>
        </w:rPr>
        <w:t xml:space="preserve"> </w:t>
      </w:r>
      <w:r>
        <w:rPr>
          <w:rFonts w:ascii="仿宋_GB2312" w:eastAsia="仿宋_GB2312"/>
          <w:spacing w:val="-4"/>
          <w:sz w:val="32"/>
          <w:szCs w:val="32"/>
        </w:rPr>
        <w:t xml:space="preserve"> </w:t>
      </w:r>
      <w:r>
        <w:rPr>
          <w:rFonts w:hint="eastAsia" w:ascii="仿宋_GB2312" w:eastAsia="仿宋_GB2312"/>
          <w:spacing w:val="-4"/>
          <w:sz w:val="32"/>
          <w:szCs w:val="32"/>
        </w:rPr>
        <w:t>本办法适用于全区各行政事业单位国有资产处置行为。</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第三条</w:t>
      </w:r>
      <w:r>
        <w:rPr>
          <w:rFonts w:ascii="仿宋_GB2312" w:eastAsia="仿宋_GB2312"/>
          <w:spacing w:val="-4"/>
          <w:sz w:val="32"/>
          <w:szCs w:val="32"/>
        </w:rPr>
        <w:t xml:space="preserve">  </w:t>
      </w:r>
      <w:r>
        <w:rPr>
          <w:rFonts w:hint="eastAsia" w:ascii="仿宋_GB2312" w:eastAsia="仿宋_GB2312"/>
          <w:spacing w:val="-4"/>
          <w:sz w:val="32"/>
          <w:szCs w:val="32"/>
        </w:rPr>
        <w:t>本办法所称行政事业单位国有资产处置，是指行政事业单位对其占有、使用的国有资产进行产权转让或注销产权的行为，包括无偿调拨（划转）、有偿转让、对外捐赠、置换、报废、报损（含货币性资产损失核销、对外投资损失核销、对外担保损失核销）等。</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第四条　</w:t>
      </w:r>
      <w:r>
        <w:rPr>
          <w:rFonts w:hint="eastAsia" w:ascii="仿宋_GB2312" w:eastAsia="仿宋_GB2312"/>
          <w:spacing w:val="-4"/>
          <w:sz w:val="32"/>
          <w:szCs w:val="32"/>
        </w:rPr>
        <w:t>行政事业单位需处置的国有资产范围包括：闲置资产，报废、淘汰资产，不符合环保节能要求的资产，产权或使用权转移的资产，盘亏、呆账及非正常损失的资产，以及依照国家有关规定需要处置的其他资产。</w:t>
      </w:r>
    </w:p>
    <w:p>
      <w:pPr>
        <w:spacing w:line="560" w:lineRule="exact"/>
        <w:ind w:firstLine="624" w:firstLineChars="200"/>
        <w:rPr>
          <w:rFonts w:ascii="仿宋_GB2312" w:eastAsia="仿宋_GB2312"/>
          <w:spacing w:val="-4"/>
          <w:sz w:val="32"/>
          <w:szCs w:val="32"/>
        </w:rPr>
      </w:pPr>
      <w:bookmarkStart w:id="0" w:name="4"/>
      <w:bookmarkEnd w:id="0"/>
      <w:r>
        <w:rPr>
          <w:rFonts w:hint="eastAsia" w:ascii="黑体" w:eastAsia="黑体"/>
          <w:spacing w:val="-4"/>
          <w:sz w:val="32"/>
          <w:szCs w:val="32"/>
        </w:rPr>
        <w:t>第五条</w:t>
      </w:r>
      <w:r>
        <w:rPr>
          <w:rFonts w:hint="eastAsia" w:ascii="仿宋_GB2312" w:eastAsia="仿宋_GB2312"/>
          <w:spacing w:val="-4"/>
          <w:sz w:val="32"/>
          <w:szCs w:val="32"/>
        </w:rPr>
        <w:t>　行政事业单位国有资产处置应遵循公开、公正、公平的原则，与资产配置、使用和回收利用相结合，逐步建立资产共享、循环利用的机制。</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第六条</w:t>
      </w:r>
      <w:r>
        <w:rPr>
          <w:rFonts w:ascii="仿宋_GB2312" w:eastAsia="仿宋_GB2312"/>
          <w:spacing w:val="-4"/>
          <w:sz w:val="32"/>
          <w:szCs w:val="32"/>
        </w:rPr>
        <w:t xml:space="preserve">  </w:t>
      </w:r>
      <w:r>
        <w:rPr>
          <w:rFonts w:hint="eastAsia" w:ascii="仿宋_GB2312" w:eastAsia="仿宋_GB2312"/>
          <w:spacing w:val="-4"/>
          <w:sz w:val="32"/>
          <w:szCs w:val="32"/>
        </w:rPr>
        <w:t>行政事业单位处置国有资产，应当由行政事业单位资产管理部门会同财务部门、技术部门审核鉴定，并提出处置意见，按照规定权限报送主管部门或区财政局审批，未经批准不得处置。</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第七条</w:t>
      </w:r>
      <w:r>
        <w:rPr>
          <w:rFonts w:ascii="仿宋_GB2312" w:eastAsia="仿宋_GB2312"/>
          <w:spacing w:val="-4"/>
          <w:sz w:val="32"/>
          <w:szCs w:val="32"/>
        </w:rPr>
        <w:t xml:space="preserve">  </w:t>
      </w:r>
      <w:r>
        <w:rPr>
          <w:rFonts w:hint="eastAsia" w:ascii="仿宋_GB2312" w:eastAsia="仿宋_GB2312"/>
          <w:spacing w:val="-4"/>
          <w:sz w:val="32"/>
          <w:szCs w:val="32"/>
        </w:rPr>
        <w:t>行政事业单位拟处置的国有资产权属应当清晰。权属关系不明确或者存在权属纠纷的资产，须待权属界定明确后才能予以处置；被设置为担保物的国有资产处置，应当符合《中华人民共和国担保法》、《中华人民共和国物权法》等法律的有关规定。</w:t>
      </w:r>
    </w:p>
    <w:p>
      <w:pPr>
        <w:spacing w:line="560" w:lineRule="exact"/>
        <w:rPr>
          <w:rFonts w:ascii="仿宋_GB2312" w:eastAsia="仿宋_GB2312"/>
          <w:spacing w:val="-4"/>
          <w:sz w:val="32"/>
          <w:szCs w:val="32"/>
        </w:rPr>
      </w:pPr>
    </w:p>
    <w:p>
      <w:pPr>
        <w:spacing w:line="560" w:lineRule="exact"/>
        <w:jc w:val="center"/>
        <w:rPr>
          <w:rFonts w:ascii="黑体" w:eastAsia="黑体"/>
          <w:spacing w:val="-4"/>
          <w:sz w:val="32"/>
          <w:szCs w:val="32"/>
        </w:rPr>
      </w:pPr>
      <w:r>
        <w:rPr>
          <w:rFonts w:hint="eastAsia" w:ascii="黑体" w:eastAsia="黑体"/>
          <w:spacing w:val="-4"/>
          <w:sz w:val="32"/>
          <w:szCs w:val="32"/>
        </w:rPr>
        <w:t>第二章</w:t>
      </w:r>
      <w:r>
        <w:rPr>
          <w:rFonts w:ascii="黑体" w:eastAsia="黑体"/>
          <w:spacing w:val="-4"/>
          <w:sz w:val="32"/>
          <w:szCs w:val="32"/>
        </w:rPr>
        <w:t xml:space="preserve">  </w:t>
      </w:r>
      <w:r>
        <w:rPr>
          <w:rFonts w:hint="eastAsia" w:ascii="黑体" w:eastAsia="黑体"/>
          <w:spacing w:val="-4"/>
          <w:sz w:val="32"/>
          <w:szCs w:val="32"/>
        </w:rPr>
        <w:t>无偿调拨（划转）和对外捐赠</w:t>
      </w:r>
    </w:p>
    <w:p>
      <w:pPr>
        <w:spacing w:line="560" w:lineRule="exact"/>
        <w:rPr>
          <w:rFonts w:ascii="仿宋_GB2312" w:eastAsia="仿宋_GB2312"/>
          <w:spacing w:val="-4"/>
          <w:sz w:val="32"/>
          <w:szCs w:val="32"/>
        </w:rPr>
      </w:pP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第八条</w:t>
      </w:r>
      <w:r>
        <w:rPr>
          <w:rFonts w:ascii="黑体" w:eastAsia="黑体"/>
          <w:spacing w:val="-4"/>
          <w:sz w:val="32"/>
          <w:szCs w:val="32"/>
        </w:rPr>
        <w:t xml:space="preserve"> </w:t>
      </w:r>
      <w:r>
        <w:rPr>
          <w:rFonts w:ascii="仿宋_GB2312" w:eastAsia="仿宋_GB2312"/>
          <w:spacing w:val="-4"/>
          <w:sz w:val="32"/>
          <w:szCs w:val="32"/>
        </w:rPr>
        <w:t xml:space="preserve"> </w:t>
      </w:r>
      <w:r>
        <w:rPr>
          <w:rFonts w:hint="eastAsia" w:ascii="仿宋_GB2312" w:eastAsia="仿宋_GB2312"/>
          <w:spacing w:val="-4"/>
          <w:sz w:val="32"/>
          <w:szCs w:val="32"/>
        </w:rPr>
        <w:t>无偿调拨（划转）是指在不改变国有资产产权性质的前提下，以无偿转让的方式变更国有资产占有权、使用权的行为。</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第九条</w:t>
      </w:r>
      <w:r>
        <w:rPr>
          <w:rFonts w:ascii="仿宋_GB2312" w:eastAsia="仿宋_GB2312"/>
          <w:spacing w:val="-4"/>
          <w:sz w:val="32"/>
          <w:szCs w:val="32"/>
        </w:rPr>
        <w:t xml:space="preserve">  </w:t>
      </w:r>
      <w:r>
        <w:rPr>
          <w:rFonts w:hint="eastAsia" w:ascii="仿宋_GB2312" w:eastAsia="仿宋_GB2312"/>
          <w:spacing w:val="-4"/>
          <w:sz w:val="32"/>
          <w:szCs w:val="32"/>
        </w:rPr>
        <w:t>无偿调拨（划转）的资产包括：</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（一）长期闲置不用、低效运转、超标准配置的资产；</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（二）因单位撤销、合并、分立、改制而移交的资产；</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（三）隶属关系改变，上划、下划的资产；</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（四）其他需调拨的资产。</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第十条</w:t>
      </w:r>
      <w:r>
        <w:rPr>
          <w:rFonts w:ascii="仿宋_GB2312" w:eastAsia="仿宋_GB2312"/>
          <w:spacing w:val="-4"/>
          <w:sz w:val="32"/>
          <w:szCs w:val="32"/>
        </w:rPr>
        <w:t xml:space="preserve">  </w:t>
      </w:r>
      <w:r>
        <w:rPr>
          <w:rFonts w:hint="eastAsia" w:ascii="仿宋_GB2312" w:eastAsia="仿宋_GB2312"/>
          <w:spacing w:val="-4"/>
          <w:sz w:val="32"/>
          <w:szCs w:val="32"/>
        </w:rPr>
        <w:t>对外捐赠是指行政事业单位根据国家法律法规等规定，自愿无偿将其有权处分的合法财产赠予合法的受赠人的行为，包括实物资产对外捐赠、无形资产对外捐赠和货币性资产对外捐赠等。对外捐赠只限于公益性对外捐赠和救济性对外捐赠。</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第十一条</w:t>
      </w:r>
      <w:r>
        <w:rPr>
          <w:rFonts w:ascii="仿宋_GB2312" w:eastAsia="仿宋_GB2312"/>
          <w:spacing w:val="-4"/>
          <w:sz w:val="32"/>
          <w:szCs w:val="32"/>
        </w:rPr>
        <w:t xml:space="preserve">  </w:t>
      </w:r>
      <w:r>
        <w:rPr>
          <w:rFonts w:hint="eastAsia" w:ascii="仿宋_GB2312" w:eastAsia="仿宋_GB2312"/>
          <w:spacing w:val="-4"/>
          <w:sz w:val="32"/>
          <w:szCs w:val="32"/>
        </w:rPr>
        <w:t>行政事业单位无偿调拨（划转）或对外捐赠资产由单位主管部门审核后报区财政局审批，其中资产价值（注：指资产的账面原值，下同）在</w:t>
      </w:r>
      <w:r>
        <w:rPr>
          <w:rFonts w:ascii="仿宋_GB2312" w:eastAsia="仿宋_GB2312"/>
          <w:spacing w:val="-4"/>
          <w:sz w:val="32"/>
          <w:szCs w:val="32"/>
        </w:rPr>
        <w:t xml:space="preserve"> 100</w:t>
      </w:r>
      <w:r>
        <w:rPr>
          <w:rFonts w:hint="eastAsia" w:ascii="仿宋_GB2312" w:eastAsia="仿宋_GB2312"/>
          <w:spacing w:val="-4"/>
          <w:sz w:val="32"/>
          <w:szCs w:val="32"/>
        </w:rPr>
        <w:t>万元（含）以上的，由区财政局审核后报区政府审批。</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第十二条</w:t>
      </w:r>
      <w:r>
        <w:rPr>
          <w:rFonts w:ascii="黑体" w:eastAsia="黑体"/>
          <w:spacing w:val="-4"/>
          <w:sz w:val="32"/>
          <w:szCs w:val="32"/>
        </w:rPr>
        <w:t xml:space="preserve"> </w:t>
      </w:r>
      <w:r>
        <w:rPr>
          <w:rFonts w:ascii="仿宋_GB2312" w:eastAsia="仿宋_GB2312"/>
          <w:spacing w:val="-4"/>
          <w:sz w:val="32"/>
          <w:szCs w:val="32"/>
        </w:rPr>
        <w:t xml:space="preserve"> </w:t>
      </w:r>
      <w:r>
        <w:rPr>
          <w:rFonts w:hint="eastAsia" w:ascii="仿宋_GB2312" w:eastAsia="仿宋_GB2312"/>
          <w:spacing w:val="-4"/>
          <w:sz w:val="32"/>
          <w:szCs w:val="32"/>
        </w:rPr>
        <w:t>行政事业单位分立、撤销、合并、改制及隶属关系发生改变时，应当对其占有、使用的国有资产进行清查登记，编制清册，并在批准之日起</w:t>
      </w:r>
      <w:r>
        <w:rPr>
          <w:rFonts w:ascii="仿宋_GB2312" w:eastAsia="仿宋_GB2312"/>
          <w:spacing w:val="-4"/>
          <w:sz w:val="32"/>
          <w:szCs w:val="32"/>
        </w:rPr>
        <w:t>1</w:t>
      </w:r>
      <w:r>
        <w:rPr>
          <w:rFonts w:hint="eastAsia" w:ascii="仿宋_GB2312" w:eastAsia="仿宋_GB2312"/>
          <w:spacing w:val="-4"/>
          <w:sz w:val="32"/>
          <w:szCs w:val="32"/>
        </w:rPr>
        <w:t>个月内到区财政局办理资产调拨审批手续。</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第十三条</w:t>
      </w:r>
      <w:r>
        <w:rPr>
          <w:rFonts w:ascii="仿宋_GB2312" w:eastAsia="仿宋_GB2312"/>
          <w:spacing w:val="-4"/>
          <w:sz w:val="32"/>
          <w:szCs w:val="32"/>
        </w:rPr>
        <w:t xml:space="preserve">  </w:t>
      </w:r>
      <w:r>
        <w:rPr>
          <w:rFonts w:hint="eastAsia" w:ascii="仿宋_GB2312" w:eastAsia="仿宋_GB2312"/>
          <w:spacing w:val="-4"/>
          <w:sz w:val="32"/>
          <w:szCs w:val="32"/>
        </w:rPr>
        <w:t>行政事业单位申请国有资产无偿调拨（划转），应提交以下材料：</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（一）无偿调拨（划转）申请文件；</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（二）龙湾区行政事业单位国有资产调拨审批表；</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（三）证明资产价值的有效凭证及权属证明，如购货发票、工程决算副本、记账凭证、固定资产明细账、固定资产卡片及国有土地使用权证、房屋所有权证、股权证等凭据的复印件（加盖单位公章）；</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（四）因行政事业单位撤销、合并、分立、改制、隶属关系改变经区政府批准调拨资产的，须提供有关批准文件；</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（五）调入单位相关资产存量和需求情况；</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（六）其他相关材料。</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第十四条</w:t>
      </w:r>
      <w:r>
        <w:rPr>
          <w:rFonts w:ascii="仿宋_GB2312" w:eastAsia="仿宋_GB2312"/>
          <w:spacing w:val="-4"/>
          <w:sz w:val="32"/>
          <w:szCs w:val="32"/>
        </w:rPr>
        <w:t xml:space="preserve">  </w:t>
      </w:r>
      <w:r>
        <w:rPr>
          <w:rFonts w:hint="eastAsia" w:ascii="仿宋_GB2312" w:eastAsia="仿宋_GB2312"/>
          <w:spacing w:val="-4"/>
          <w:sz w:val="32"/>
          <w:szCs w:val="32"/>
        </w:rPr>
        <w:t>行政事业单位国有资产对外捐赠，应提交以下材料：</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（一）对外捐赠申请文件，应包括对外捐赠事由、途径、方式、责任人、资产构成及其数额、交接程序等内容；</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（二）龙湾区行政事业单位国有资产处置审批表；</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（三）证明资产价值的有效凭证及权属证明，如购货发票、工程决算副本、记账凭证、固定资产明细账、固定资产卡片及国有土地使用权证、房屋所有权证、股权证等凭据的复印件（加盖单位公章）；</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（四）对外捐赠单位出具的对外捐赠事项对本单位财务状况和业务活动影响的分析报告；使用货币资金对外捐赠的，还应提供货币资金的来源说明等；</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（五）主管部门、行政事业单位决定对外捐赠事项的有关文件；</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（六）受赠方的基本情况和草拟的对外捐赠协议；</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（七）其他相关材料。</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第十五条</w:t>
      </w:r>
      <w:r>
        <w:rPr>
          <w:rFonts w:ascii="仿宋_GB2312" w:eastAsia="仿宋_GB2312"/>
          <w:spacing w:val="-4"/>
          <w:sz w:val="32"/>
          <w:szCs w:val="32"/>
        </w:rPr>
        <w:t xml:space="preserve">  </w:t>
      </w:r>
      <w:r>
        <w:rPr>
          <w:rFonts w:hint="eastAsia" w:ascii="仿宋_GB2312" w:eastAsia="仿宋_GB2312"/>
          <w:spacing w:val="-4"/>
          <w:sz w:val="32"/>
          <w:szCs w:val="32"/>
        </w:rPr>
        <w:t>行政事业单位资产无偿调拨（划转）或对外捐赠的，双方应办理资产移交手续，并在</w:t>
      </w:r>
      <w:r>
        <w:rPr>
          <w:rFonts w:ascii="仿宋_GB2312" w:eastAsia="仿宋_GB2312"/>
          <w:spacing w:val="-4"/>
          <w:sz w:val="32"/>
          <w:szCs w:val="32"/>
        </w:rPr>
        <w:t>1</w:t>
      </w:r>
      <w:r>
        <w:rPr>
          <w:rFonts w:hint="eastAsia" w:ascii="仿宋_GB2312" w:eastAsia="仿宋_GB2312"/>
          <w:spacing w:val="-4"/>
          <w:sz w:val="32"/>
          <w:szCs w:val="32"/>
        </w:rPr>
        <w:t>个月内将移交接收材料报送区财政局备案。</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第十六条</w:t>
      </w:r>
      <w:r>
        <w:rPr>
          <w:rFonts w:ascii="仿宋_GB2312" w:eastAsia="仿宋_GB2312"/>
          <w:spacing w:val="-4"/>
          <w:sz w:val="32"/>
          <w:szCs w:val="32"/>
        </w:rPr>
        <w:t xml:space="preserve">  </w:t>
      </w:r>
      <w:r>
        <w:rPr>
          <w:rFonts w:hint="eastAsia" w:ascii="仿宋_GB2312" w:eastAsia="仿宋_GB2312"/>
          <w:spacing w:val="-4"/>
          <w:sz w:val="32"/>
          <w:szCs w:val="32"/>
        </w:rPr>
        <w:t>行政事业单位接收无偿调拨（划转）的国有资产以及接受对外捐赠的国有资产，应及时办理入账手续，其入账价值按照有关凭据注明的金额或者同类资产的市场价格以及发生的相关费用确定。</w:t>
      </w:r>
    </w:p>
    <w:p>
      <w:pPr>
        <w:spacing w:line="560" w:lineRule="exact"/>
        <w:rPr>
          <w:rFonts w:ascii="仿宋_GB2312" w:eastAsia="仿宋_GB2312"/>
          <w:spacing w:val="-4"/>
          <w:sz w:val="32"/>
          <w:szCs w:val="32"/>
        </w:rPr>
      </w:pPr>
    </w:p>
    <w:p>
      <w:pPr>
        <w:spacing w:line="560" w:lineRule="exact"/>
        <w:jc w:val="center"/>
        <w:rPr>
          <w:rFonts w:ascii="黑体" w:eastAsia="黑体"/>
          <w:spacing w:val="-4"/>
          <w:sz w:val="32"/>
          <w:szCs w:val="32"/>
        </w:rPr>
      </w:pPr>
      <w:r>
        <w:rPr>
          <w:rFonts w:hint="eastAsia" w:ascii="黑体" w:eastAsia="黑体"/>
          <w:spacing w:val="-4"/>
          <w:sz w:val="32"/>
          <w:szCs w:val="32"/>
        </w:rPr>
        <w:t>第三章</w:t>
      </w:r>
      <w:r>
        <w:rPr>
          <w:rFonts w:ascii="黑体" w:eastAsia="黑体"/>
          <w:spacing w:val="-4"/>
          <w:sz w:val="32"/>
          <w:szCs w:val="32"/>
        </w:rPr>
        <w:t xml:space="preserve">  </w:t>
      </w:r>
      <w:r>
        <w:rPr>
          <w:rFonts w:hint="eastAsia" w:ascii="黑体" w:eastAsia="黑体"/>
          <w:spacing w:val="-4"/>
          <w:sz w:val="32"/>
          <w:szCs w:val="32"/>
        </w:rPr>
        <w:t>有偿转让和置换</w:t>
      </w:r>
    </w:p>
    <w:p>
      <w:pPr>
        <w:spacing w:line="560" w:lineRule="exact"/>
        <w:rPr>
          <w:rFonts w:ascii="仿宋_GB2312" w:eastAsia="仿宋_GB2312"/>
          <w:spacing w:val="-4"/>
          <w:sz w:val="32"/>
          <w:szCs w:val="32"/>
        </w:rPr>
      </w:pP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第十七条</w:t>
      </w:r>
      <w:r>
        <w:rPr>
          <w:rFonts w:ascii="黑体" w:eastAsia="黑体"/>
          <w:spacing w:val="-4"/>
          <w:sz w:val="32"/>
          <w:szCs w:val="32"/>
        </w:rPr>
        <w:t xml:space="preserve"> </w:t>
      </w:r>
      <w:r>
        <w:rPr>
          <w:rFonts w:ascii="仿宋_GB2312" w:eastAsia="仿宋_GB2312"/>
          <w:spacing w:val="-4"/>
          <w:sz w:val="32"/>
          <w:szCs w:val="32"/>
        </w:rPr>
        <w:t xml:space="preserve"> </w:t>
      </w:r>
      <w:r>
        <w:rPr>
          <w:rFonts w:hint="eastAsia" w:ascii="仿宋_GB2312" w:eastAsia="仿宋_GB2312"/>
          <w:spacing w:val="-4"/>
          <w:sz w:val="32"/>
          <w:szCs w:val="32"/>
        </w:rPr>
        <w:t>有偿转让是指变更行政事业单位国有资产所有权或占有权、使用权并取得相应收益的行为。置换是以非货币性资产为主进行的交换。</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第十八条</w:t>
      </w:r>
      <w:r>
        <w:rPr>
          <w:rFonts w:ascii="黑体" w:eastAsia="黑体"/>
          <w:spacing w:val="-4"/>
          <w:sz w:val="32"/>
          <w:szCs w:val="32"/>
        </w:rPr>
        <w:t xml:space="preserve"> </w:t>
      </w:r>
      <w:r>
        <w:rPr>
          <w:rFonts w:ascii="仿宋_GB2312" w:eastAsia="仿宋_GB2312"/>
          <w:spacing w:val="-4"/>
          <w:sz w:val="32"/>
          <w:szCs w:val="32"/>
        </w:rPr>
        <w:t xml:space="preserve"> </w:t>
      </w:r>
      <w:r>
        <w:rPr>
          <w:rFonts w:hint="eastAsia" w:ascii="仿宋_GB2312" w:eastAsia="仿宋_GB2312"/>
          <w:spacing w:val="-4"/>
          <w:sz w:val="32"/>
          <w:szCs w:val="32"/>
        </w:rPr>
        <w:t>行政事业单位有偿转让国有资产的审批权限：</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（一）转让房屋建筑物、土地、飞机、机动车辆、机动船只的，由单位主管部门审核后报区财政局审批，其中资产价值在</w:t>
      </w:r>
      <w:r>
        <w:rPr>
          <w:rFonts w:ascii="仿宋_GB2312" w:eastAsia="仿宋_GB2312"/>
          <w:spacing w:val="-4"/>
          <w:sz w:val="32"/>
          <w:szCs w:val="32"/>
        </w:rPr>
        <w:t>100</w:t>
      </w:r>
      <w:r>
        <w:rPr>
          <w:rFonts w:hint="eastAsia" w:ascii="仿宋_GB2312" w:eastAsia="仿宋_GB2312"/>
          <w:spacing w:val="-4"/>
          <w:sz w:val="32"/>
          <w:szCs w:val="32"/>
        </w:rPr>
        <w:t>万元（含）以上的，由区财政局审核后报区政府审批。</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（二）转让其他资产，单位价值</w:t>
      </w:r>
      <w:r>
        <w:rPr>
          <w:rFonts w:ascii="仿宋_GB2312" w:eastAsia="仿宋_GB2312"/>
          <w:spacing w:val="-4"/>
          <w:sz w:val="32"/>
          <w:szCs w:val="32"/>
        </w:rPr>
        <w:t xml:space="preserve"> 1 </w:t>
      </w:r>
      <w:r>
        <w:rPr>
          <w:rFonts w:hint="eastAsia" w:ascii="仿宋_GB2312" w:eastAsia="仿宋_GB2312"/>
          <w:spacing w:val="-4"/>
          <w:sz w:val="32"/>
          <w:szCs w:val="32"/>
        </w:rPr>
        <w:t>万元（含）以下且一次报批价值</w:t>
      </w:r>
      <w:r>
        <w:rPr>
          <w:rFonts w:ascii="仿宋_GB2312" w:eastAsia="仿宋_GB2312"/>
          <w:spacing w:val="-4"/>
          <w:sz w:val="32"/>
          <w:szCs w:val="32"/>
        </w:rPr>
        <w:t xml:space="preserve"> 10 </w:t>
      </w:r>
      <w:r>
        <w:rPr>
          <w:rFonts w:hint="eastAsia" w:ascii="仿宋_GB2312" w:eastAsia="仿宋_GB2312"/>
          <w:spacing w:val="-4"/>
          <w:sz w:val="32"/>
          <w:szCs w:val="32"/>
        </w:rPr>
        <w:t>万元（含）以下的，由单位主管部门审批，报区财政局备案；单位价值</w:t>
      </w:r>
      <w:r>
        <w:rPr>
          <w:rFonts w:ascii="仿宋_GB2312" w:eastAsia="仿宋_GB2312"/>
          <w:spacing w:val="-4"/>
          <w:sz w:val="32"/>
          <w:szCs w:val="32"/>
        </w:rPr>
        <w:t xml:space="preserve"> 1 </w:t>
      </w:r>
      <w:r>
        <w:rPr>
          <w:rFonts w:hint="eastAsia" w:ascii="仿宋_GB2312" w:eastAsia="仿宋_GB2312"/>
          <w:spacing w:val="-4"/>
          <w:sz w:val="32"/>
          <w:szCs w:val="32"/>
        </w:rPr>
        <w:t>万元以上或一次报批价值</w:t>
      </w:r>
      <w:r>
        <w:rPr>
          <w:rFonts w:ascii="仿宋_GB2312" w:eastAsia="仿宋_GB2312"/>
          <w:spacing w:val="-4"/>
          <w:sz w:val="32"/>
          <w:szCs w:val="32"/>
        </w:rPr>
        <w:t xml:space="preserve"> 10 </w:t>
      </w:r>
      <w:r>
        <w:rPr>
          <w:rFonts w:hint="eastAsia" w:ascii="仿宋_GB2312" w:eastAsia="仿宋_GB2312"/>
          <w:spacing w:val="-4"/>
          <w:sz w:val="32"/>
          <w:szCs w:val="32"/>
        </w:rPr>
        <w:t>万元以上的，由单位主管部门审核后报区财政局审批，其中资产价值在</w:t>
      </w:r>
      <w:r>
        <w:rPr>
          <w:rFonts w:ascii="仿宋_GB2312" w:eastAsia="仿宋_GB2312"/>
          <w:spacing w:val="-4"/>
          <w:sz w:val="32"/>
          <w:szCs w:val="32"/>
        </w:rPr>
        <w:t>100</w:t>
      </w:r>
      <w:r>
        <w:rPr>
          <w:rFonts w:hint="eastAsia" w:ascii="仿宋_GB2312" w:eastAsia="仿宋_GB2312"/>
          <w:spacing w:val="-4"/>
          <w:sz w:val="32"/>
          <w:szCs w:val="32"/>
        </w:rPr>
        <w:t>万元（含）以上的，由区财政局审核后报区政府审批。</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第十九条</w:t>
      </w:r>
      <w:r>
        <w:rPr>
          <w:rFonts w:hint="eastAsia" w:ascii="仿宋_GB2312" w:eastAsia="仿宋_GB2312"/>
          <w:spacing w:val="-4"/>
          <w:sz w:val="32"/>
          <w:szCs w:val="32"/>
        </w:rPr>
        <w:t>　行政事业单位置换国有资产，由单位主管部门审核后报区财政局审批，其中资产价值在</w:t>
      </w:r>
      <w:r>
        <w:rPr>
          <w:rFonts w:ascii="仿宋_GB2312" w:eastAsia="仿宋_GB2312"/>
          <w:spacing w:val="-4"/>
          <w:sz w:val="32"/>
          <w:szCs w:val="32"/>
        </w:rPr>
        <w:t xml:space="preserve"> 100 </w:t>
      </w:r>
      <w:r>
        <w:rPr>
          <w:rFonts w:hint="eastAsia" w:ascii="仿宋_GB2312" w:eastAsia="仿宋_GB2312"/>
          <w:spacing w:val="-4"/>
          <w:sz w:val="32"/>
          <w:szCs w:val="32"/>
        </w:rPr>
        <w:t>万元（含）以上的，由区财政局审核后报区政府审批。</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第二十条</w:t>
      </w:r>
      <w:r>
        <w:rPr>
          <w:rFonts w:ascii="仿宋_GB2312" w:eastAsia="仿宋_GB2312"/>
          <w:spacing w:val="-4"/>
          <w:sz w:val="32"/>
          <w:szCs w:val="32"/>
        </w:rPr>
        <w:t xml:space="preserve">  </w:t>
      </w:r>
      <w:r>
        <w:rPr>
          <w:rFonts w:hint="eastAsia" w:ascii="仿宋_GB2312" w:eastAsia="仿宋_GB2312"/>
          <w:spacing w:val="-4"/>
          <w:sz w:val="32"/>
          <w:szCs w:val="32"/>
        </w:rPr>
        <w:t>行政事业单位申请有偿转让国有资产，应提交以下材料：</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（一）有偿转让申请文件；</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（二）龙湾区区级行政事业单位国有资产处置审批表；</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（三）证明资产价值的有效凭证及权属证明，如购货发票、工程决算副本、记账凭证、固定资产明细账、固定资产卡片及国有土地使用权证、房屋所有权证、股权证等凭据的复印件（加盖单位公章）；</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（四）有偿转让方案，包括资产的基本情况，处置的原因、方式等，属于股权转让的，还应提交股权转让可行性报告；</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（五）其他相关材料。　</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第二十一条</w:t>
      </w:r>
      <w:r>
        <w:rPr>
          <w:rFonts w:ascii="仿宋_GB2312" w:eastAsia="仿宋_GB2312"/>
          <w:spacing w:val="-4"/>
          <w:sz w:val="32"/>
          <w:szCs w:val="32"/>
        </w:rPr>
        <w:t xml:space="preserve">  </w:t>
      </w:r>
      <w:r>
        <w:rPr>
          <w:rFonts w:hint="eastAsia" w:ascii="仿宋_GB2312" w:eastAsia="仿宋_GB2312"/>
          <w:spacing w:val="-4"/>
          <w:sz w:val="32"/>
          <w:szCs w:val="32"/>
        </w:rPr>
        <w:t>行政事业单位申请国有资产置换应提交以下材料：</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（一）置换申请文件；</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（二）龙湾区行政事业单位国有资产处置审批表；</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（三）证明资产价值的有效凭证及权属证明，如购货发票、工程决算副本、记账凭证、固定资产明细账、固定资产卡片及国有土地使用权证、房屋所有权证、股权证等凭据的复印件（加盖单位公章）；</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（四）对方单位拟用于置换资产的基本情况说明、是否已被设置为担保物等；</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（五）双方草签的置换协议；</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（六）对方单位的法人证书或营业执照的复印件（加盖单位公章）；</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（七）本单位近期的财务报告；</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（八）其他相关材料。</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第二十二条</w:t>
      </w:r>
      <w:r>
        <w:rPr>
          <w:rFonts w:ascii="仿宋_GB2312" w:eastAsia="仿宋_GB2312"/>
          <w:spacing w:val="-4"/>
          <w:sz w:val="32"/>
          <w:szCs w:val="32"/>
        </w:rPr>
        <w:t xml:space="preserve">  </w:t>
      </w:r>
      <w:r>
        <w:rPr>
          <w:rFonts w:hint="eastAsia" w:ascii="仿宋_GB2312" w:eastAsia="仿宋_GB2312"/>
          <w:spacing w:val="-4"/>
          <w:sz w:val="32"/>
          <w:szCs w:val="32"/>
        </w:rPr>
        <w:t>有偿转让和置换资产经主管部门或区财政局审核同意后，需要评估的，必须委托具有资产评估资质的评估机构对国有资产进行评估。评估结果报区财政局备案或核准。</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第二十三条</w:t>
      </w:r>
      <w:r>
        <w:rPr>
          <w:rFonts w:hint="eastAsia" w:ascii="仿宋_GB2312" w:eastAsia="仿宋_GB2312"/>
          <w:spacing w:val="-4"/>
          <w:sz w:val="32"/>
          <w:szCs w:val="32"/>
        </w:rPr>
        <w:t>　行政事业单位有偿转让国有资产，应当按照公开、公正、公平的原则，委托具有资质的社会中介机构采取拍卖、招投标以及国家法律、法规规定的其他方式进行。拟确定转让资产交易底价低于评估价时，应当暂停交易，并按规定审批权限报经批准后方可继续进行。</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第二十四条</w:t>
      </w:r>
      <w:r>
        <w:rPr>
          <w:rFonts w:ascii="仿宋_GB2312" w:eastAsia="仿宋_GB2312"/>
          <w:spacing w:val="-4"/>
          <w:sz w:val="32"/>
          <w:szCs w:val="32"/>
        </w:rPr>
        <w:t xml:space="preserve">  </w:t>
      </w:r>
      <w:r>
        <w:rPr>
          <w:rFonts w:hint="eastAsia" w:ascii="仿宋_GB2312" w:eastAsia="仿宋_GB2312"/>
          <w:spacing w:val="-4"/>
          <w:sz w:val="32"/>
          <w:szCs w:val="32"/>
        </w:rPr>
        <w:t>行政事业单位资产置换的，置换双方应当办理交接手续。</w:t>
      </w:r>
    </w:p>
    <w:p>
      <w:pPr>
        <w:spacing w:line="560" w:lineRule="exact"/>
        <w:rPr>
          <w:rFonts w:ascii="仿宋_GB2312" w:eastAsia="仿宋_GB2312"/>
          <w:spacing w:val="-4"/>
          <w:sz w:val="32"/>
          <w:szCs w:val="32"/>
        </w:rPr>
      </w:pPr>
    </w:p>
    <w:p>
      <w:pPr>
        <w:spacing w:line="560" w:lineRule="exact"/>
        <w:jc w:val="center"/>
        <w:rPr>
          <w:rFonts w:ascii="黑体" w:eastAsia="黑体"/>
          <w:spacing w:val="-4"/>
          <w:sz w:val="32"/>
          <w:szCs w:val="32"/>
        </w:rPr>
      </w:pPr>
      <w:r>
        <w:rPr>
          <w:rFonts w:hint="eastAsia" w:ascii="黑体" w:eastAsia="黑体"/>
          <w:spacing w:val="-4"/>
          <w:sz w:val="32"/>
          <w:szCs w:val="32"/>
        </w:rPr>
        <w:t>第四章</w:t>
      </w:r>
      <w:r>
        <w:rPr>
          <w:rFonts w:ascii="黑体" w:eastAsia="黑体"/>
          <w:spacing w:val="-4"/>
          <w:sz w:val="32"/>
          <w:szCs w:val="32"/>
        </w:rPr>
        <w:t xml:space="preserve">  </w:t>
      </w:r>
      <w:r>
        <w:rPr>
          <w:rFonts w:hint="eastAsia" w:ascii="黑体" w:eastAsia="黑体"/>
          <w:spacing w:val="-4"/>
          <w:sz w:val="32"/>
          <w:szCs w:val="32"/>
        </w:rPr>
        <w:t>报废</w:t>
      </w:r>
    </w:p>
    <w:p>
      <w:pPr>
        <w:spacing w:line="560" w:lineRule="exact"/>
        <w:rPr>
          <w:rFonts w:ascii="仿宋_GB2312" w:eastAsia="仿宋_GB2312"/>
          <w:spacing w:val="-4"/>
          <w:sz w:val="32"/>
          <w:szCs w:val="32"/>
        </w:rPr>
      </w:pP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第二十五条</w:t>
      </w:r>
      <w:r>
        <w:rPr>
          <w:rFonts w:ascii="仿宋_GB2312" w:eastAsia="仿宋_GB2312"/>
          <w:spacing w:val="-4"/>
          <w:sz w:val="32"/>
          <w:szCs w:val="32"/>
        </w:rPr>
        <w:t xml:space="preserve">  </w:t>
      </w:r>
      <w:r>
        <w:rPr>
          <w:rFonts w:hint="eastAsia" w:ascii="仿宋_GB2312" w:eastAsia="仿宋_GB2312"/>
          <w:spacing w:val="-4"/>
          <w:sz w:val="32"/>
          <w:szCs w:val="32"/>
        </w:rPr>
        <w:t>报废主要是指固定资产已达到规定使用年限而出现老化、损坏、市场淘汰、维护使用成本过高等，经技术鉴定或按有关规定，已不能继续使用，进行产权注销的行为。</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第二十六条</w:t>
      </w:r>
      <w:r>
        <w:rPr>
          <w:rFonts w:ascii="黑体" w:eastAsia="黑体"/>
          <w:spacing w:val="-4"/>
          <w:sz w:val="32"/>
          <w:szCs w:val="32"/>
        </w:rPr>
        <w:t xml:space="preserve"> </w:t>
      </w:r>
      <w:r>
        <w:rPr>
          <w:rFonts w:ascii="仿宋_GB2312" w:eastAsia="仿宋_GB2312"/>
          <w:spacing w:val="-4"/>
          <w:sz w:val="32"/>
          <w:szCs w:val="32"/>
        </w:rPr>
        <w:t xml:space="preserve"> </w:t>
      </w:r>
      <w:r>
        <w:rPr>
          <w:rFonts w:hint="eastAsia" w:ascii="仿宋_GB2312" w:eastAsia="仿宋_GB2312"/>
          <w:spacing w:val="-4"/>
          <w:sz w:val="32"/>
          <w:szCs w:val="32"/>
        </w:rPr>
        <w:t>行政事业单位报废国有资产的审批权限：</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（一）超过规定使用年限需报废的固定资产，单位价值在</w:t>
      </w:r>
      <w:r>
        <w:rPr>
          <w:rFonts w:ascii="仿宋_GB2312" w:eastAsia="仿宋_GB2312"/>
          <w:spacing w:val="-4"/>
          <w:sz w:val="32"/>
          <w:szCs w:val="32"/>
        </w:rPr>
        <w:t xml:space="preserve"> 1 </w:t>
      </w:r>
      <w:r>
        <w:rPr>
          <w:rFonts w:hint="eastAsia" w:ascii="仿宋_GB2312" w:eastAsia="仿宋_GB2312"/>
          <w:spacing w:val="-4"/>
          <w:sz w:val="32"/>
          <w:szCs w:val="32"/>
        </w:rPr>
        <w:t>万元（含）以下且一次报批价值</w:t>
      </w:r>
      <w:r>
        <w:rPr>
          <w:rFonts w:ascii="仿宋_GB2312" w:eastAsia="仿宋_GB2312"/>
          <w:spacing w:val="-4"/>
          <w:sz w:val="32"/>
          <w:szCs w:val="32"/>
        </w:rPr>
        <w:t xml:space="preserve"> 10 </w:t>
      </w:r>
      <w:r>
        <w:rPr>
          <w:rFonts w:hint="eastAsia" w:ascii="仿宋_GB2312" w:eastAsia="仿宋_GB2312"/>
          <w:spacing w:val="-4"/>
          <w:sz w:val="32"/>
          <w:szCs w:val="32"/>
        </w:rPr>
        <w:t>万元（含）以下的，由单位主管部门审批，报区财政局备案；</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（二）没有规定使用年限或未达到规定使用年限需报废的固定资产，以及超过规定使用年限，单位价值在</w:t>
      </w:r>
      <w:r>
        <w:rPr>
          <w:rFonts w:ascii="仿宋_GB2312" w:eastAsia="仿宋_GB2312"/>
          <w:spacing w:val="-4"/>
          <w:sz w:val="32"/>
          <w:szCs w:val="32"/>
        </w:rPr>
        <w:t xml:space="preserve"> 1 </w:t>
      </w:r>
      <w:r>
        <w:rPr>
          <w:rFonts w:hint="eastAsia" w:ascii="仿宋_GB2312" w:eastAsia="仿宋_GB2312"/>
          <w:spacing w:val="-4"/>
          <w:sz w:val="32"/>
          <w:szCs w:val="32"/>
        </w:rPr>
        <w:t>万元以上或一次报批价值</w:t>
      </w:r>
      <w:r>
        <w:rPr>
          <w:rFonts w:ascii="仿宋_GB2312" w:eastAsia="仿宋_GB2312"/>
          <w:spacing w:val="-4"/>
          <w:sz w:val="32"/>
          <w:szCs w:val="32"/>
        </w:rPr>
        <w:t xml:space="preserve"> 10 </w:t>
      </w:r>
      <w:r>
        <w:rPr>
          <w:rFonts w:hint="eastAsia" w:ascii="仿宋_GB2312" w:eastAsia="仿宋_GB2312"/>
          <w:spacing w:val="-4"/>
          <w:sz w:val="32"/>
          <w:szCs w:val="32"/>
        </w:rPr>
        <w:t>万元以上需报废的固定资产，由单位主管部门审核后报区财政局审批。</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第二十七条</w:t>
      </w:r>
      <w:r>
        <w:rPr>
          <w:rFonts w:ascii="仿宋_GB2312" w:eastAsia="仿宋_GB2312"/>
          <w:spacing w:val="-4"/>
          <w:sz w:val="32"/>
          <w:szCs w:val="32"/>
        </w:rPr>
        <w:t xml:space="preserve">  </w:t>
      </w:r>
      <w:r>
        <w:rPr>
          <w:rFonts w:hint="eastAsia" w:ascii="仿宋_GB2312" w:eastAsia="仿宋_GB2312"/>
          <w:spacing w:val="-4"/>
          <w:sz w:val="32"/>
          <w:szCs w:val="32"/>
        </w:rPr>
        <w:t>行政事业单位申请报废资产应提交以下材料：</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（一）报废申请文件；</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（二）龙湾区行政事业单位国有资产处置审批表；</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（三）证明资产价值的有效凭证，如购货发票、工程决算副本、记账凭证、固定资产明细账、盘点表、固定资产卡片及产权证明等凭据的复印件（加盖单位公章）；</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（四）固定资产清单、状况说明，国家和省有关资产使用期限的规定或技术鉴定报告；现有技术鉴定机构无法进行鉴定的，应提供资产近两年的维修记录和维修费用凭单；</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（五）申报单位填报的有关报废资产内部审核意见表；</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（六）其他相关材料。</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第二十八条</w:t>
      </w:r>
      <w:r>
        <w:rPr>
          <w:rFonts w:ascii="仿宋_GB2312" w:eastAsia="仿宋_GB2312"/>
          <w:spacing w:val="-4"/>
          <w:sz w:val="32"/>
          <w:szCs w:val="32"/>
        </w:rPr>
        <w:t xml:space="preserve">  </w:t>
      </w:r>
      <w:r>
        <w:rPr>
          <w:rFonts w:hint="eastAsia" w:ascii="仿宋_GB2312" w:eastAsia="仿宋_GB2312"/>
          <w:spacing w:val="-4"/>
          <w:sz w:val="32"/>
          <w:szCs w:val="32"/>
        </w:rPr>
        <w:t>行政事业单位国有资产已达到使用年限，但经技术鉴定机构鉴定仍有使用价值的，应继续予以有效利用。</w:t>
      </w:r>
    </w:p>
    <w:p>
      <w:pPr>
        <w:spacing w:line="560" w:lineRule="exact"/>
        <w:rPr>
          <w:rFonts w:ascii="仿宋_GB2312" w:eastAsia="仿宋_GB2312"/>
          <w:spacing w:val="-4"/>
          <w:sz w:val="32"/>
          <w:szCs w:val="32"/>
        </w:rPr>
      </w:pPr>
    </w:p>
    <w:p>
      <w:pPr>
        <w:spacing w:line="560" w:lineRule="exact"/>
        <w:jc w:val="center"/>
        <w:rPr>
          <w:rFonts w:ascii="黑体" w:eastAsia="黑体"/>
          <w:spacing w:val="-4"/>
          <w:sz w:val="32"/>
          <w:szCs w:val="32"/>
        </w:rPr>
      </w:pPr>
      <w:r>
        <w:rPr>
          <w:rFonts w:hint="eastAsia" w:ascii="黑体" w:eastAsia="黑体"/>
          <w:spacing w:val="-4"/>
          <w:sz w:val="32"/>
          <w:szCs w:val="32"/>
        </w:rPr>
        <w:t>第五章</w:t>
      </w:r>
      <w:r>
        <w:rPr>
          <w:rFonts w:ascii="黑体" w:eastAsia="黑体"/>
          <w:spacing w:val="-4"/>
          <w:sz w:val="32"/>
          <w:szCs w:val="32"/>
        </w:rPr>
        <w:t xml:space="preserve">  </w:t>
      </w:r>
      <w:r>
        <w:rPr>
          <w:rFonts w:hint="eastAsia" w:ascii="黑体" w:eastAsia="黑体"/>
          <w:spacing w:val="-4"/>
          <w:sz w:val="32"/>
          <w:szCs w:val="32"/>
        </w:rPr>
        <w:t>报损和核销</w:t>
      </w:r>
    </w:p>
    <w:p>
      <w:pPr>
        <w:spacing w:line="560" w:lineRule="exact"/>
        <w:rPr>
          <w:rFonts w:ascii="仿宋_GB2312" w:eastAsia="仿宋_GB2312"/>
          <w:spacing w:val="-4"/>
          <w:sz w:val="32"/>
          <w:szCs w:val="32"/>
        </w:rPr>
      </w:pP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第二十九条</w:t>
      </w:r>
      <w:r>
        <w:rPr>
          <w:rFonts w:ascii="仿宋_GB2312" w:eastAsia="仿宋_GB2312"/>
          <w:spacing w:val="-4"/>
          <w:sz w:val="32"/>
          <w:szCs w:val="32"/>
        </w:rPr>
        <w:t xml:space="preserve">  </w:t>
      </w:r>
      <w:r>
        <w:rPr>
          <w:rFonts w:hint="eastAsia" w:ascii="仿宋_GB2312" w:eastAsia="仿宋_GB2312"/>
          <w:spacing w:val="-4"/>
          <w:sz w:val="32"/>
          <w:szCs w:val="32"/>
        </w:rPr>
        <w:t>报损是指由于存货、固定资产、无形资产等资产发生非正常损失等原因，按有关规定对资产损失进行产权注销的资产处置行为。货币性资产损失核销是指单位按现行财务与会计制度，对确认形成损失的货币性资产（现金、银行存款、应收账款、应收票据等）进行核销的行为。</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第三十条</w:t>
      </w:r>
      <w:r>
        <w:rPr>
          <w:rFonts w:ascii="黑体" w:eastAsia="黑体"/>
          <w:spacing w:val="-4"/>
          <w:sz w:val="32"/>
          <w:szCs w:val="32"/>
        </w:rPr>
        <w:t xml:space="preserve"> </w:t>
      </w:r>
      <w:r>
        <w:rPr>
          <w:rFonts w:ascii="仿宋_GB2312" w:eastAsia="仿宋_GB2312"/>
          <w:spacing w:val="-4"/>
          <w:sz w:val="32"/>
          <w:szCs w:val="32"/>
        </w:rPr>
        <w:t xml:space="preserve"> </w:t>
      </w:r>
      <w:r>
        <w:rPr>
          <w:rFonts w:hint="eastAsia" w:ascii="仿宋_GB2312" w:eastAsia="仿宋_GB2312"/>
          <w:spacing w:val="-4"/>
          <w:sz w:val="32"/>
          <w:szCs w:val="32"/>
        </w:rPr>
        <w:t>行政事业单位报损和核销国有资产的审批权限：</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（一）资产单位价值</w:t>
      </w:r>
      <w:r>
        <w:rPr>
          <w:rFonts w:ascii="仿宋_GB2312" w:eastAsia="仿宋_GB2312"/>
          <w:spacing w:val="-4"/>
          <w:sz w:val="32"/>
          <w:szCs w:val="32"/>
        </w:rPr>
        <w:t xml:space="preserve"> 2000 </w:t>
      </w:r>
      <w:r>
        <w:rPr>
          <w:rFonts w:hint="eastAsia" w:ascii="仿宋_GB2312" w:eastAsia="仿宋_GB2312"/>
          <w:spacing w:val="-4"/>
          <w:sz w:val="32"/>
          <w:szCs w:val="32"/>
        </w:rPr>
        <w:t>元（含）以下且一次报批价值</w:t>
      </w:r>
      <w:r>
        <w:rPr>
          <w:rFonts w:ascii="仿宋_GB2312" w:eastAsia="仿宋_GB2312"/>
          <w:spacing w:val="-4"/>
          <w:sz w:val="32"/>
          <w:szCs w:val="32"/>
        </w:rPr>
        <w:t xml:space="preserve"> 5</w:t>
      </w:r>
      <w:r>
        <w:rPr>
          <w:rFonts w:hint="eastAsia" w:ascii="仿宋_GB2312" w:eastAsia="仿宋_GB2312"/>
          <w:spacing w:val="-4"/>
          <w:sz w:val="32"/>
          <w:szCs w:val="32"/>
        </w:rPr>
        <w:t>万元（含）以下的盘亏、毁损及其他非正常损失，由单位主管部门审批，报区财政局备案；资产单位价值</w:t>
      </w:r>
      <w:r>
        <w:rPr>
          <w:rFonts w:ascii="仿宋_GB2312" w:eastAsia="仿宋_GB2312"/>
          <w:spacing w:val="-4"/>
          <w:sz w:val="32"/>
          <w:szCs w:val="32"/>
        </w:rPr>
        <w:t xml:space="preserve">2000 </w:t>
      </w:r>
      <w:r>
        <w:rPr>
          <w:rFonts w:hint="eastAsia" w:ascii="仿宋_GB2312" w:eastAsia="仿宋_GB2312"/>
          <w:spacing w:val="-4"/>
          <w:sz w:val="32"/>
          <w:szCs w:val="32"/>
        </w:rPr>
        <w:t>元以上或一次报批价值</w:t>
      </w:r>
      <w:r>
        <w:rPr>
          <w:rFonts w:ascii="仿宋_GB2312" w:eastAsia="仿宋_GB2312"/>
          <w:spacing w:val="-4"/>
          <w:sz w:val="32"/>
          <w:szCs w:val="32"/>
        </w:rPr>
        <w:t>5</w:t>
      </w:r>
      <w:r>
        <w:rPr>
          <w:rFonts w:hint="eastAsia" w:ascii="仿宋_GB2312" w:eastAsia="仿宋_GB2312"/>
          <w:spacing w:val="-4"/>
          <w:sz w:val="32"/>
          <w:szCs w:val="32"/>
        </w:rPr>
        <w:t>万元以上的盘亏、毁损及其他非正常损失，由单位主管部门审核后报区财政局审批，其中资产价值在</w:t>
      </w:r>
      <w:r>
        <w:rPr>
          <w:rFonts w:ascii="仿宋_GB2312" w:eastAsia="仿宋_GB2312"/>
          <w:spacing w:val="-4"/>
          <w:sz w:val="32"/>
          <w:szCs w:val="32"/>
        </w:rPr>
        <w:t>100</w:t>
      </w:r>
      <w:r>
        <w:rPr>
          <w:rFonts w:hint="eastAsia" w:ascii="仿宋_GB2312" w:eastAsia="仿宋_GB2312"/>
          <w:spacing w:val="-4"/>
          <w:sz w:val="32"/>
          <w:szCs w:val="32"/>
        </w:rPr>
        <w:t>万元（含）以上的，由区财政局审核后报区政府审批。</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（二）货币性资产损失、对外投资损失、对外担保损失，由单位主管部门审核后报区财政局审批，其中资产价值在</w:t>
      </w:r>
      <w:r>
        <w:rPr>
          <w:rFonts w:ascii="仿宋_GB2312" w:eastAsia="仿宋_GB2312"/>
          <w:spacing w:val="-4"/>
          <w:sz w:val="32"/>
          <w:szCs w:val="32"/>
        </w:rPr>
        <w:t xml:space="preserve">  100</w:t>
      </w:r>
      <w:r>
        <w:rPr>
          <w:rFonts w:hint="eastAsia" w:ascii="仿宋_GB2312" w:eastAsia="仿宋_GB2312"/>
          <w:spacing w:val="-4"/>
          <w:sz w:val="32"/>
          <w:szCs w:val="32"/>
        </w:rPr>
        <w:t>万元（含）以上的，由区财政局审核后报区政府审批。</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第三十一条</w:t>
      </w:r>
      <w:r>
        <w:rPr>
          <w:rFonts w:ascii="黑体" w:eastAsia="黑体"/>
          <w:spacing w:val="-4"/>
          <w:sz w:val="32"/>
          <w:szCs w:val="32"/>
        </w:rPr>
        <w:t xml:space="preserve"> </w:t>
      </w:r>
      <w:r>
        <w:rPr>
          <w:rFonts w:ascii="仿宋_GB2312" w:eastAsia="仿宋_GB2312"/>
          <w:spacing w:val="-4"/>
          <w:sz w:val="32"/>
          <w:szCs w:val="32"/>
        </w:rPr>
        <w:t xml:space="preserve"> </w:t>
      </w:r>
      <w:r>
        <w:rPr>
          <w:rFonts w:hint="eastAsia" w:ascii="仿宋_GB2312" w:eastAsia="仿宋_GB2312"/>
          <w:spacing w:val="-4"/>
          <w:sz w:val="32"/>
          <w:szCs w:val="32"/>
        </w:rPr>
        <w:t>行政事业单位申请国有资产报损，应提交以下材料：</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（一）报损申请文件；</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（二）龙湾区行政事业单位国有资产处置审批表；</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（三）证明盘亏、毁损以及非正常损失资产价值的有效凭证，如购货发票、工程决算副本、记账凭证、固定资产明细账、盘点表、固定资产卡片及产权证明等凭据的复印件（加盖单位公章）；</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（四）造成损失的具有法律效力的外部证据或有效证明，社会中介机构出具的经济鉴证报告；</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（五）非正常损失责任事故的鉴定文件及对责任者的处理文件；涉及索赔的，应有理赔情况说明和相应的赔偿收入收缴凭证复印件；</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（六）因房屋拆除等原因需办理资产核销手续的，提交相关职能部门的房屋拆除批复文件、建设项目拆建立项文件、双方</w:t>
      </w:r>
      <w:bookmarkStart w:id="1" w:name="_GoBack"/>
      <w:bookmarkEnd w:id="1"/>
      <w:r>
        <w:rPr>
          <w:rFonts w:hint="eastAsia" w:ascii="仿宋_GB2312" w:eastAsia="仿宋_GB2312"/>
          <w:spacing w:val="-4"/>
          <w:sz w:val="32"/>
          <w:szCs w:val="32"/>
          <w:lang w:eastAsia="zh-CN"/>
        </w:rPr>
        <w:t>签订的</w:t>
      </w:r>
      <w:r>
        <w:rPr>
          <w:rFonts w:hint="eastAsia" w:ascii="仿宋_GB2312" w:eastAsia="仿宋_GB2312"/>
          <w:spacing w:val="-4"/>
          <w:sz w:val="32"/>
          <w:szCs w:val="32"/>
        </w:rPr>
        <w:t>房屋拆迁补偿协议；</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（七）申报单位填报的有关报损资产内部审核意见表；</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（八）其他相关材料。</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第三十二条</w:t>
      </w:r>
      <w:r>
        <w:rPr>
          <w:rFonts w:ascii="仿宋_GB2312" w:eastAsia="仿宋_GB2312"/>
          <w:spacing w:val="-4"/>
          <w:sz w:val="32"/>
          <w:szCs w:val="32"/>
        </w:rPr>
        <w:t xml:space="preserve">  </w:t>
      </w:r>
      <w:r>
        <w:rPr>
          <w:rFonts w:hint="eastAsia" w:ascii="仿宋_GB2312" w:eastAsia="仿宋_GB2312"/>
          <w:spacing w:val="-4"/>
          <w:sz w:val="32"/>
          <w:szCs w:val="32"/>
        </w:rPr>
        <w:t>事业单位申请国有资产对外投资、担保损失核销，应提交以下材料：</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（一）对外投资、担保损失处置的申请文件；</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（二）龙湾区行政事业单位国有资产处置审批表；</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（三）债权或股权凭证、形成呆坏账的情况说明和具有法定依据的证明材料；</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（四）被投资（担保）单位的清算审计报告及注销文件；</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（五）涉及仲裁、诉讼或执行的，提供生效的法律文书；</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（六）其他相关材料。</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第三十三条</w:t>
      </w:r>
      <w:r>
        <w:rPr>
          <w:rFonts w:ascii="仿宋_GB2312" w:eastAsia="仿宋_GB2312"/>
          <w:spacing w:val="-4"/>
          <w:sz w:val="32"/>
          <w:szCs w:val="32"/>
        </w:rPr>
        <w:t xml:space="preserve">  </w:t>
      </w:r>
      <w:r>
        <w:rPr>
          <w:rFonts w:hint="eastAsia" w:ascii="仿宋_GB2312" w:eastAsia="仿宋_GB2312"/>
          <w:spacing w:val="-4"/>
          <w:sz w:val="32"/>
          <w:szCs w:val="32"/>
        </w:rPr>
        <w:t>行政事业单位申请货币性资产损失核销，应提交以下材料：</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（一）货币性资产损失核销的申请文件；</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（二）龙湾区行政事业单位国有资产处置审批表；</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（三）债务人已被依法宣告破产、撤销、关闭，用债务人清算财产清偿后仍不能弥补损失的，提供宣告破产的民事裁定书以及财产清算报告、注销工商登记或吊销营业执照的证明、政府有关部门决定关闭的文件；</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（四）债务人死亡或者依法被宣告失踪、死亡的，提供其财产或遗产不足清偿的法律文件；</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（五）涉及仲裁、诉讼或执行的，提供生效的法律文书；</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（六）其他相关材料。</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第三十四条</w:t>
      </w:r>
      <w:r>
        <w:rPr>
          <w:rFonts w:ascii="仿宋_GB2312" w:eastAsia="仿宋_GB2312"/>
          <w:spacing w:val="-4"/>
          <w:sz w:val="32"/>
          <w:szCs w:val="32"/>
        </w:rPr>
        <w:t xml:space="preserve">  </w:t>
      </w:r>
      <w:r>
        <w:rPr>
          <w:rFonts w:hint="eastAsia" w:ascii="仿宋_GB2312" w:eastAsia="仿宋_GB2312"/>
          <w:spacing w:val="-4"/>
          <w:sz w:val="32"/>
          <w:szCs w:val="32"/>
        </w:rPr>
        <w:t>对经批准核销的呆账损失，行政事业单位应当按照“账销案存”原则，仍保留有追偿的权利和义务。</w:t>
      </w:r>
    </w:p>
    <w:p>
      <w:pPr>
        <w:spacing w:line="560" w:lineRule="exact"/>
        <w:ind w:firstLine="624" w:firstLineChars="200"/>
        <w:jc w:val="center"/>
        <w:rPr>
          <w:rFonts w:ascii="黑体" w:eastAsia="黑体"/>
          <w:spacing w:val="-4"/>
          <w:sz w:val="32"/>
          <w:szCs w:val="32"/>
        </w:rPr>
      </w:pPr>
    </w:p>
    <w:p>
      <w:pPr>
        <w:spacing w:line="560" w:lineRule="exact"/>
        <w:jc w:val="center"/>
        <w:rPr>
          <w:rFonts w:ascii="黑体" w:eastAsia="黑体"/>
          <w:spacing w:val="-4"/>
          <w:sz w:val="32"/>
          <w:szCs w:val="32"/>
        </w:rPr>
      </w:pPr>
      <w:r>
        <w:rPr>
          <w:rFonts w:hint="eastAsia" w:ascii="黑体" w:eastAsia="黑体"/>
          <w:spacing w:val="-4"/>
          <w:sz w:val="32"/>
          <w:szCs w:val="32"/>
        </w:rPr>
        <w:t>第六章</w:t>
      </w:r>
      <w:r>
        <w:rPr>
          <w:rFonts w:ascii="黑体" w:eastAsia="黑体"/>
          <w:spacing w:val="-4"/>
          <w:sz w:val="32"/>
          <w:szCs w:val="32"/>
        </w:rPr>
        <w:t xml:space="preserve">  </w:t>
      </w:r>
      <w:r>
        <w:rPr>
          <w:rFonts w:hint="eastAsia" w:ascii="黑体" w:eastAsia="黑体"/>
          <w:spacing w:val="-4"/>
          <w:sz w:val="32"/>
          <w:szCs w:val="32"/>
        </w:rPr>
        <w:t>处置收入管理</w:t>
      </w:r>
    </w:p>
    <w:p>
      <w:pPr>
        <w:spacing w:line="560" w:lineRule="exact"/>
        <w:rPr>
          <w:rFonts w:ascii="仿宋_GB2312" w:eastAsia="仿宋_GB2312"/>
          <w:spacing w:val="-4"/>
          <w:sz w:val="32"/>
          <w:szCs w:val="32"/>
        </w:rPr>
      </w:pP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第三十五条</w:t>
      </w:r>
      <w:r>
        <w:rPr>
          <w:rFonts w:ascii="仿宋_GB2312" w:eastAsia="仿宋_GB2312"/>
          <w:spacing w:val="-4"/>
          <w:sz w:val="32"/>
          <w:szCs w:val="32"/>
        </w:rPr>
        <w:t xml:space="preserve">  </w:t>
      </w:r>
      <w:r>
        <w:rPr>
          <w:rFonts w:hint="eastAsia" w:ascii="仿宋_GB2312" w:eastAsia="仿宋_GB2312"/>
          <w:spacing w:val="-4"/>
          <w:sz w:val="32"/>
          <w:szCs w:val="32"/>
        </w:rPr>
        <w:t>处置收入是指在有偿转让、置换、报废报损等处置国有资产过程中获得的收入，包括出售实物资产和无形资产的收入、置换差价收入、报废报损残值变价收入、拆迁补偿收入或赔偿收入、保险理赔收入、转让股权、土地使用权收益和其他相关收入等。</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第三十六条</w:t>
      </w:r>
      <w:r>
        <w:rPr>
          <w:rFonts w:ascii="仿宋_GB2312" w:eastAsia="仿宋_GB2312"/>
          <w:spacing w:val="-4"/>
          <w:sz w:val="32"/>
          <w:szCs w:val="32"/>
        </w:rPr>
        <w:t xml:space="preserve">  </w:t>
      </w:r>
      <w:r>
        <w:rPr>
          <w:rFonts w:hint="eastAsia" w:ascii="仿宋_GB2312" w:eastAsia="仿宋_GB2312"/>
          <w:spacing w:val="-4"/>
          <w:sz w:val="32"/>
          <w:szCs w:val="32"/>
        </w:rPr>
        <w:t>处置收入应全额上缴财政，按照政府非税收入管理的规定，实行“收支两条线”管理。</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行政事业单位职工房改房出售收入，按现行住房制度改革有关规定执行。</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第三十七条</w:t>
      </w:r>
      <w:r>
        <w:rPr>
          <w:rFonts w:ascii="仿宋_GB2312" w:eastAsia="仿宋_GB2312"/>
          <w:spacing w:val="-4"/>
          <w:sz w:val="32"/>
          <w:szCs w:val="32"/>
        </w:rPr>
        <w:t xml:space="preserve">  </w:t>
      </w:r>
      <w:r>
        <w:rPr>
          <w:rFonts w:hint="eastAsia" w:ascii="仿宋_GB2312" w:eastAsia="仿宋_GB2312"/>
          <w:spacing w:val="-4"/>
          <w:sz w:val="32"/>
          <w:szCs w:val="32"/>
        </w:rPr>
        <w:t>国有资产处置收入由区财政统筹安排，统一纳入预算管理。对行政事业单位资产的维护、更新及新增等需求，由区财政局根据资产配置和相关费用开支标准及财力情况在部门预算中予以安排。</w:t>
      </w:r>
    </w:p>
    <w:p>
      <w:pPr>
        <w:spacing w:line="560" w:lineRule="exact"/>
        <w:rPr>
          <w:rFonts w:ascii="仿宋_GB2312" w:eastAsia="仿宋_GB2312"/>
          <w:spacing w:val="-4"/>
          <w:sz w:val="32"/>
          <w:szCs w:val="32"/>
        </w:rPr>
      </w:pPr>
    </w:p>
    <w:p>
      <w:pPr>
        <w:spacing w:line="560" w:lineRule="exact"/>
        <w:jc w:val="center"/>
        <w:rPr>
          <w:rFonts w:ascii="黑体" w:eastAsia="黑体"/>
          <w:spacing w:val="-4"/>
          <w:sz w:val="32"/>
          <w:szCs w:val="32"/>
        </w:rPr>
      </w:pPr>
      <w:r>
        <w:rPr>
          <w:rFonts w:hint="eastAsia" w:ascii="黑体" w:eastAsia="黑体"/>
          <w:spacing w:val="-4"/>
          <w:sz w:val="32"/>
          <w:szCs w:val="32"/>
        </w:rPr>
        <w:t>第七章</w:t>
      </w:r>
      <w:r>
        <w:rPr>
          <w:rFonts w:ascii="黑体" w:eastAsia="黑体"/>
          <w:spacing w:val="-4"/>
          <w:sz w:val="32"/>
          <w:szCs w:val="32"/>
        </w:rPr>
        <w:t xml:space="preserve">  </w:t>
      </w:r>
      <w:r>
        <w:rPr>
          <w:rFonts w:hint="eastAsia" w:ascii="黑体" w:eastAsia="黑体"/>
          <w:spacing w:val="-4"/>
          <w:sz w:val="32"/>
          <w:szCs w:val="32"/>
        </w:rPr>
        <w:t>附</w:t>
      </w:r>
      <w:r>
        <w:rPr>
          <w:rFonts w:ascii="黑体" w:eastAsia="黑体"/>
          <w:spacing w:val="-4"/>
          <w:sz w:val="32"/>
          <w:szCs w:val="32"/>
        </w:rPr>
        <w:t xml:space="preserve">  </w:t>
      </w:r>
      <w:r>
        <w:rPr>
          <w:rFonts w:hint="eastAsia" w:ascii="黑体" w:eastAsia="黑体"/>
          <w:spacing w:val="-4"/>
          <w:sz w:val="32"/>
          <w:szCs w:val="32"/>
        </w:rPr>
        <w:t>则</w:t>
      </w:r>
    </w:p>
    <w:p>
      <w:pPr>
        <w:spacing w:line="560" w:lineRule="exact"/>
        <w:rPr>
          <w:rFonts w:ascii="仿宋_GB2312" w:eastAsia="仿宋_GB2312"/>
          <w:spacing w:val="-4"/>
          <w:sz w:val="32"/>
          <w:szCs w:val="32"/>
        </w:rPr>
      </w:pP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第三十八条</w:t>
      </w:r>
      <w:r>
        <w:rPr>
          <w:rFonts w:hint="eastAsia" w:ascii="仿宋_GB2312" w:eastAsia="仿宋_GB2312"/>
          <w:spacing w:val="-4"/>
          <w:sz w:val="32"/>
          <w:szCs w:val="32"/>
        </w:rPr>
        <w:t>　行政事业单位应当在资产处置完毕并取得处置结果凭证后一个月内，将资产处置结果以及按照行政事业单位会计制度规定进行账务处理的结果报区财政局备案。凡属主管部门审批的，主管部门应于每年</w:t>
      </w:r>
      <w:r>
        <w:rPr>
          <w:rFonts w:ascii="仿宋_GB2312" w:eastAsia="仿宋_GB2312"/>
          <w:spacing w:val="-4"/>
          <w:sz w:val="32"/>
          <w:szCs w:val="32"/>
        </w:rPr>
        <w:t xml:space="preserve"> 6 </w:t>
      </w:r>
      <w:r>
        <w:rPr>
          <w:rFonts w:hint="eastAsia" w:ascii="仿宋_GB2312" w:eastAsia="仿宋_GB2312"/>
          <w:spacing w:val="-4"/>
          <w:sz w:val="32"/>
          <w:szCs w:val="32"/>
        </w:rPr>
        <w:t>月底和</w:t>
      </w:r>
      <w:r>
        <w:rPr>
          <w:rFonts w:ascii="仿宋_GB2312" w:eastAsia="仿宋_GB2312"/>
          <w:spacing w:val="-4"/>
          <w:sz w:val="32"/>
          <w:szCs w:val="32"/>
        </w:rPr>
        <w:t xml:space="preserve"> 12 </w:t>
      </w:r>
      <w:r>
        <w:rPr>
          <w:rFonts w:hint="eastAsia" w:ascii="仿宋_GB2312" w:eastAsia="仿宋_GB2312"/>
          <w:spacing w:val="-4"/>
          <w:sz w:val="32"/>
          <w:szCs w:val="32"/>
        </w:rPr>
        <w:t>月底前将资产处置结果集中报区财政局备案。</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第三十九条</w:t>
      </w:r>
      <w:r>
        <w:rPr>
          <w:rFonts w:ascii="仿宋_GB2312" w:eastAsia="仿宋_GB2312"/>
          <w:spacing w:val="-4"/>
          <w:sz w:val="32"/>
          <w:szCs w:val="32"/>
        </w:rPr>
        <w:t xml:space="preserve">  </w:t>
      </w:r>
      <w:r>
        <w:rPr>
          <w:rFonts w:hint="eastAsia" w:ascii="仿宋_GB2312" w:eastAsia="仿宋_GB2312"/>
          <w:spacing w:val="-4"/>
          <w:sz w:val="32"/>
          <w:szCs w:val="32"/>
        </w:rPr>
        <w:t>经批准召开重大会议、举办大型活动等而临时购置的国有资产，由主办单位在会议、活动结束时按照本办法规定报批后处置。主办单位对资产的安全和完整负责，不得擅自处置。</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第四十条</w:t>
      </w:r>
      <w:r>
        <w:rPr>
          <w:rFonts w:ascii="仿宋_GB2312" w:eastAsia="仿宋_GB2312"/>
          <w:spacing w:val="-4"/>
          <w:sz w:val="32"/>
          <w:szCs w:val="32"/>
        </w:rPr>
        <w:t xml:space="preserve">  </w:t>
      </w:r>
      <w:r>
        <w:rPr>
          <w:rFonts w:hint="eastAsia" w:ascii="仿宋_GB2312" w:eastAsia="仿宋_GB2312"/>
          <w:spacing w:val="-4"/>
          <w:sz w:val="32"/>
          <w:szCs w:val="32"/>
        </w:rPr>
        <w:t>区财政局、主管部门、行政事业单位和个人违反本办法规定擅自处置国有资产的，根据《财政违法行为处罚处分条例》等国家有关规定追究法律责任。</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第四十一条</w:t>
      </w:r>
      <w:r>
        <w:rPr>
          <w:rFonts w:ascii="仿宋_GB2312" w:eastAsia="仿宋_GB2312"/>
          <w:spacing w:val="-4"/>
          <w:sz w:val="32"/>
          <w:szCs w:val="32"/>
        </w:rPr>
        <w:t xml:space="preserve">  </w:t>
      </w:r>
      <w:r>
        <w:rPr>
          <w:rFonts w:hint="eastAsia" w:ascii="仿宋_GB2312" w:eastAsia="仿宋_GB2312"/>
          <w:spacing w:val="-4"/>
          <w:sz w:val="32"/>
          <w:szCs w:val="32"/>
        </w:rPr>
        <w:t>各行政事业单位可根据本办法，制定本单位国有资产处置具体实施细则。</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第四十二条</w:t>
      </w:r>
      <w:r>
        <w:rPr>
          <w:rFonts w:ascii="仿宋_GB2312" w:eastAsia="仿宋_GB2312"/>
          <w:spacing w:val="-4"/>
          <w:sz w:val="32"/>
          <w:szCs w:val="32"/>
        </w:rPr>
        <w:t xml:space="preserve">  </w:t>
      </w:r>
      <w:r>
        <w:rPr>
          <w:rFonts w:hint="eastAsia" w:ascii="仿宋_GB2312" w:eastAsia="仿宋_GB2312"/>
          <w:spacing w:val="-4"/>
          <w:sz w:val="32"/>
          <w:szCs w:val="32"/>
        </w:rPr>
        <w:t>行政事业单位处置涉及国家安全和秘密的国有资产，应当按照国家有关保密规定，做好保密工作，防止失密和泄密。</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第四十三条</w:t>
      </w:r>
      <w:r>
        <w:rPr>
          <w:rFonts w:ascii="仿宋_GB2312" w:eastAsia="仿宋_GB2312"/>
          <w:spacing w:val="-4"/>
          <w:sz w:val="32"/>
          <w:szCs w:val="32"/>
        </w:rPr>
        <w:t xml:space="preserve">  </w:t>
      </w:r>
      <w:r>
        <w:rPr>
          <w:rFonts w:hint="eastAsia" w:ascii="仿宋_GB2312" w:eastAsia="仿宋_GB2312"/>
          <w:spacing w:val="-4"/>
          <w:sz w:val="32"/>
          <w:szCs w:val="32"/>
        </w:rPr>
        <w:t>实行企业化管理并执行企业财务会计制度的事业单位，以及事业单位所办全资企业及控股企业的国有资产处置，按照《企业国有资产法》、《企业财务通则》、《企业国有资本与财务管理暂行办法》、《企业国有产权转让管理暂行办法》等规定，由区财政局实施监督管理。</w:t>
      </w:r>
    </w:p>
    <w:p>
      <w:pPr>
        <w:spacing w:line="560" w:lineRule="exact"/>
        <w:ind w:firstLine="624" w:firstLineChars="200"/>
        <w:rPr>
          <w:rFonts w:ascii="仿宋_GB2312" w:eastAsia="仿宋_GB2312"/>
          <w:spacing w:val="-4"/>
          <w:sz w:val="32"/>
          <w:szCs w:val="32"/>
        </w:rPr>
      </w:pPr>
      <w:r>
        <w:rPr>
          <w:rFonts w:hint="eastAsia" w:ascii="黑体" w:eastAsia="黑体"/>
          <w:spacing w:val="-4"/>
          <w:sz w:val="32"/>
          <w:szCs w:val="32"/>
        </w:rPr>
        <w:t>第四十四条</w:t>
      </w:r>
      <w:r>
        <w:rPr>
          <w:rFonts w:ascii="黑体" w:eastAsia="黑体"/>
          <w:spacing w:val="-4"/>
          <w:sz w:val="32"/>
          <w:szCs w:val="32"/>
        </w:rPr>
        <w:t xml:space="preserve"> </w:t>
      </w:r>
      <w:r>
        <w:rPr>
          <w:rFonts w:ascii="仿宋_GB2312" w:eastAsia="仿宋_GB2312"/>
          <w:spacing w:val="-4"/>
          <w:sz w:val="32"/>
          <w:szCs w:val="32"/>
        </w:rPr>
        <w:t xml:space="preserve"> </w:t>
      </w:r>
      <w:r>
        <w:rPr>
          <w:rFonts w:hint="eastAsia" w:ascii="仿宋_GB2312" w:eastAsia="仿宋_GB2312"/>
          <w:spacing w:val="-4"/>
          <w:sz w:val="32"/>
          <w:szCs w:val="32"/>
        </w:rPr>
        <w:t>本办法自发布之日起</w:t>
      </w:r>
      <w:r>
        <w:rPr>
          <w:rFonts w:ascii="仿宋_GB2312" w:eastAsia="仿宋_GB2312"/>
          <w:spacing w:val="-4"/>
          <w:sz w:val="32"/>
          <w:szCs w:val="32"/>
        </w:rPr>
        <w:t>30</w:t>
      </w:r>
      <w:r>
        <w:rPr>
          <w:rFonts w:hint="eastAsia" w:ascii="仿宋_GB2312" w:eastAsia="仿宋_GB2312"/>
          <w:spacing w:val="-4"/>
          <w:sz w:val="32"/>
          <w:szCs w:val="32"/>
        </w:rPr>
        <w:t>日后施行，此前颁布的有关规定与本办法不一致的，按照本办法执行。</w:t>
      </w:r>
    </w:p>
    <w:p>
      <w:pPr>
        <w:spacing w:line="560" w:lineRule="exact"/>
        <w:rPr>
          <w:rFonts w:ascii="仿宋_GB2312" w:eastAsia="仿宋_GB2312"/>
          <w:spacing w:val="-4"/>
          <w:sz w:val="32"/>
          <w:szCs w:val="32"/>
        </w:rPr>
      </w:pP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附件</w:t>
      </w:r>
      <w:r>
        <w:rPr>
          <w:rFonts w:ascii="仿宋_GB2312" w:eastAsia="仿宋_GB2312"/>
          <w:spacing w:val="-4"/>
          <w:sz w:val="32"/>
          <w:szCs w:val="32"/>
        </w:rPr>
        <w:t>:1.</w:t>
      </w:r>
      <w:r>
        <w:rPr>
          <w:rFonts w:hint="eastAsia" w:ascii="仿宋_GB2312" w:eastAsia="仿宋_GB2312"/>
          <w:spacing w:val="-4"/>
          <w:sz w:val="32"/>
          <w:szCs w:val="32"/>
        </w:rPr>
        <w:t>龙湾区行政事业单位国有资产处置审批表</w:t>
      </w:r>
    </w:p>
    <w:p>
      <w:pPr>
        <w:spacing w:line="560" w:lineRule="exact"/>
        <w:ind w:firstLine="1404" w:firstLineChars="450"/>
        <w:rPr>
          <w:rFonts w:ascii="仿宋_GB2312" w:eastAsia="仿宋_GB2312"/>
          <w:spacing w:val="-4"/>
          <w:sz w:val="32"/>
          <w:szCs w:val="32"/>
        </w:rPr>
      </w:pPr>
      <w:r>
        <w:rPr>
          <w:rFonts w:ascii="仿宋_GB2312" w:eastAsia="仿宋_GB2312"/>
          <w:spacing w:val="-4"/>
          <w:sz w:val="32"/>
          <w:szCs w:val="32"/>
        </w:rPr>
        <w:t>2.</w:t>
      </w:r>
      <w:r>
        <w:rPr>
          <w:rFonts w:hint="eastAsia" w:ascii="仿宋_GB2312" w:eastAsia="仿宋_GB2312"/>
          <w:spacing w:val="-4"/>
          <w:sz w:val="32"/>
          <w:szCs w:val="32"/>
        </w:rPr>
        <w:t>龙湾区行政事业单位国有资产调拨审批表</w:t>
      </w:r>
    </w:p>
    <w:p>
      <w:pPr>
        <w:spacing w:line="560" w:lineRule="exact"/>
        <w:rPr>
          <w:rFonts w:ascii="仿宋_GB2312"/>
          <w:kern w:val="0"/>
          <w:szCs w:val="32"/>
        </w:rPr>
      </w:pPr>
    </w:p>
    <w:p>
      <w:pPr>
        <w:spacing w:line="560" w:lineRule="exact"/>
        <w:rPr>
          <w:rFonts w:ascii="仿宋_GB2312"/>
          <w:kern w:val="0"/>
          <w:szCs w:val="32"/>
        </w:rPr>
      </w:pPr>
    </w:p>
    <w:p>
      <w:pPr>
        <w:spacing w:line="560" w:lineRule="exact"/>
        <w:rPr>
          <w:sz w:val="15"/>
        </w:rPr>
        <w:sectPr>
          <w:footerReference r:id="rId3" w:type="default"/>
          <w:pgSz w:w="11907" w:h="16840"/>
          <w:pgMar w:top="1440" w:right="1800" w:bottom="1440" w:left="1800" w:header="851" w:footer="1418" w:gutter="0"/>
          <w:cols w:space="425" w:num="1"/>
          <w:docGrid w:type="lines" w:linePitch="312" w:charSpace="0"/>
        </w:sectPr>
      </w:pPr>
    </w:p>
    <w:p>
      <w:pPr>
        <w:rPr>
          <w:rFonts w:ascii="宋体" w:cs="宋体"/>
          <w:b/>
          <w:bCs/>
          <w:kern w:val="0"/>
          <w:sz w:val="24"/>
        </w:rPr>
      </w:pPr>
      <w:r>
        <w:rPr>
          <w:rFonts w:hint="eastAsia" w:ascii="宋体" w:hAnsi="宋体" w:cs="宋体"/>
          <w:b/>
          <w:bCs/>
          <w:kern w:val="0"/>
          <w:sz w:val="24"/>
        </w:rPr>
        <w:t>附件</w:t>
      </w:r>
      <w:r>
        <w:rPr>
          <w:rFonts w:ascii="宋体" w:hAnsi="宋体" w:cs="宋体"/>
          <w:b/>
          <w:bCs/>
          <w:kern w:val="0"/>
          <w:sz w:val="24"/>
        </w:rPr>
        <w:t>1</w:t>
      </w:r>
    </w:p>
    <w:p>
      <w:pPr>
        <w:jc w:val="center"/>
        <w:rPr>
          <w:rFonts w:ascii="宋体" w:cs="宋体"/>
          <w:b/>
          <w:bCs/>
          <w:kern w:val="0"/>
          <w:sz w:val="36"/>
          <w:szCs w:val="36"/>
        </w:rPr>
      </w:pPr>
      <w:r>
        <w:rPr>
          <w:rFonts w:hint="eastAsia" w:ascii="宋体" w:hAnsi="宋体" w:cs="宋体"/>
          <w:b/>
          <w:bCs/>
          <w:kern w:val="0"/>
          <w:sz w:val="36"/>
          <w:szCs w:val="36"/>
        </w:rPr>
        <w:t>龙湾区行政事业单位国有资产处置审批表</w:t>
      </w:r>
    </w:p>
    <w:p>
      <w:pPr>
        <w:ind w:firstLine="240" w:firstLineChars="100"/>
        <w:rPr>
          <w:rFonts w:ascii="宋体" w:cs="宋体"/>
          <w:kern w:val="0"/>
          <w:sz w:val="24"/>
        </w:rPr>
      </w:pPr>
      <w:r>
        <w:rPr>
          <w:rFonts w:hint="eastAsia" w:ascii="宋体" w:hAnsi="宋体" w:cs="宋体"/>
          <w:kern w:val="0"/>
          <w:sz w:val="24"/>
        </w:rPr>
        <w:t>单据号：</w:t>
      </w:r>
      <w:r>
        <w:rPr>
          <w:rFonts w:ascii="宋体" w:hAnsi="宋体" w:cs="宋体"/>
          <w:kern w:val="0"/>
          <w:sz w:val="24"/>
        </w:rPr>
        <w:t xml:space="preserve">                                  </w:t>
      </w:r>
      <w:r>
        <w:rPr>
          <w:rFonts w:hint="eastAsia" w:ascii="宋体" w:hAnsi="宋体" w:cs="宋体"/>
          <w:kern w:val="0"/>
          <w:sz w:val="24"/>
        </w:rPr>
        <w:t>申报日期：</w:t>
      </w: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r>
        <w:rPr>
          <w:rFonts w:ascii="宋体" w:hAnsi="宋体" w:cs="宋体"/>
          <w:kern w:val="0"/>
          <w:sz w:val="24"/>
        </w:rPr>
        <w:t xml:space="preserve">                               NO.</w:t>
      </w:r>
    </w:p>
    <w:p>
      <w:pPr>
        <w:ind w:firstLine="240" w:firstLineChars="100"/>
        <w:rPr>
          <w:rFonts w:ascii="宋体" w:cs="宋体"/>
          <w:b/>
          <w:bCs/>
          <w:kern w:val="0"/>
          <w:sz w:val="24"/>
        </w:rPr>
      </w:pPr>
      <w:r>
        <w:rPr>
          <w:rFonts w:hint="eastAsia" w:ascii="宋体" w:hAnsi="宋体" w:cs="宋体"/>
          <w:kern w:val="0"/>
          <w:sz w:val="24"/>
        </w:rPr>
        <w:t>申报单位（公章）：</w:t>
      </w:r>
      <w:r>
        <w:rPr>
          <w:rFonts w:ascii="宋体" w:hAnsi="宋体" w:cs="宋体"/>
          <w:kern w:val="0"/>
          <w:sz w:val="24"/>
        </w:rPr>
        <w:t xml:space="preserve">                        </w:t>
      </w:r>
      <w:r>
        <w:rPr>
          <w:rFonts w:hint="eastAsia" w:ascii="宋体" w:hAnsi="宋体" w:cs="宋体"/>
          <w:kern w:val="0"/>
          <w:sz w:val="24"/>
        </w:rPr>
        <w:t>处置方式：</w:t>
      </w:r>
      <w:r>
        <w:rPr>
          <w:rFonts w:ascii="宋体" w:hAnsi="宋体" w:cs="宋体"/>
          <w:kern w:val="0"/>
          <w:sz w:val="24"/>
        </w:rPr>
        <w:t xml:space="preserve">                                                      </w:t>
      </w:r>
      <w:r>
        <w:rPr>
          <w:rFonts w:hint="eastAsia" w:ascii="宋体" w:hAnsi="宋体" w:cs="宋体"/>
          <w:kern w:val="0"/>
          <w:sz w:val="24"/>
        </w:rPr>
        <w:t>金额单位：元</w:t>
      </w:r>
      <w:r>
        <w:rPr>
          <w:rFonts w:ascii="宋体" w:hAnsi="宋体" w:cs="宋体"/>
          <w:kern w:val="0"/>
          <w:sz w:val="24"/>
        </w:rPr>
        <w:t xml:space="preserve">                                                                       </w:t>
      </w:r>
    </w:p>
    <w:tbl>
      <w:tblPr>
        <w:tblStyle w:val="3"/>
        <w:tblW w:w="14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048"/>
        <w:gridCol w:w="1192"/>
        <w:gridCol w:w="720"/>
        <w:gridCol w:w="1260"/>
        <w:gridCol w:w="720"/>
        <w:gridCol w:w="720"/>
        <w:gridCol w:w="720"/>
        <w:gridCol w:w="1572"/>
        <w:gridCol w:w="1488"/>
        <w:gridCol w:w="2700"/>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60" w:type="dxa"/>
            <w:vAlign w:val="center"/>
          </w:tcPr>
          <w:p>
            <w:pPr>
              <w:widowControl/>
              <w:jc w:val="center"/>
              <w:rPr>
                <w:rFonts w:ascii="宋体" w:cs="宋体"/>
                <w:kern w:val="0"/>
                <w:sz w:val="24"/>
              </w:rPr>
            </w:pPr>
            <w:r>
              <w:rPr>
                <w:rFonts w:hint="eastAsia" w:ascii="宋体" w:hAnsi="宋体" w:cs="宋体"/>
                <w:kern w:val="0"/>
                <w:sz w:val="24"/>
              </w:rPr>
              <w:t>序号</w:t>
            </w:r>
          </w:p>
        </w:tc>
        <w:tc>
          <w:tcPr>
            <w:tcW w:w="2048" w:type="dxa"/>
            <w:vAlign w:val="center"/>
          </w:tcPr>
          <w:p>
            <w:pPr>
              <w:widowControl/>
              <w:jc w:val="center"/>
              <w:rPr>
                <w:rFonts w:ascii="宋体" w:cs="宋体"/>
                <w:kern w:val="0"/>
                <w:sz w:val="24"/>
              </w:rPr>
            </w:pPr>
            <w:r>
              <w:rPr>
                <w:rFonts w:hint="eastAsia" w:ascii="宋体" w:hAnsi="宋体" w:cs="宋体"/>
                <w:kern w:val="0"/>
                <w:sz w:val="24"/>
              </w:rPr>
              <w:t>资产名称</w:t>
            </w:r>
          </w:p>
        </w:tc>
        <w:tc>
          <w:tcPr>
            <w:tcW w:w="1192" w:type="dxa"/>
            <w:vAlign w:val="center"/>
          </w:tcPr>
          <w:p>
            <w:pPr>
              <w:widowControl/>
              <w:jc w:val="center"/>
              <w:rPr>
                <w:rFonts w:ascii="宋体" w:cs="宋体"/>
                <w:kern w:val="0"/>
                <w:sz w:val="24"/>
              </w:rPr>
            </w:pPr>
            <w:r>
              <w:rPr>
                <w:rFonts w:hint="eastAsia" w:ascii="宋体" w:hAnsi="宋体" w:cs="宋体"/>
                <w:kern w:val="0"/>
                <w:sz w:val="24"/>
              </w:rPr>
              <w:t>资产编号</w:t>
            </w:r>
          </w:p>
        </w:tc>
        <w:tc>
          <w:tcPr>
            <w:tcW w:w="720" w:type="dxa"/>
            <w:vAlign w:val="center"/>
          </w:tcPr>
          <w:p>
            <w:pPr>
              <w:widowControl/>
              <w:jc w:val="center"/>
              <w:rPr>
                <w:rFonts w:ascii="宋体" w:cs="宋体"/>
                <w:kern w:val="0"/>
                <w:sz w:val="24"/>
              </w:rPr>
            </w:pPr>
            <w:r>
              <w:rPr>
                <w:rFonts w:hint="eastAsia" w:ascii="宋体" w:hAnsi="宋体" w:cs="宋体"/>
                <w:kern w:val="0"/>
                <w:sz w:val="24"/>
              </w:rPr>
              <w:t>规格型号</w:t>
            </w:r>
          </w:p>
        </w:tc>
        <w:tc>
          <w:tcPr>
            <w:tcW w:w="1260" w:type="dxa"/>
            <w:vAlign w:val="center"/>
          </w:tcPr>
          <w:p>
            <w:pPr>
              <w:widowControl/>
              <w:jc w:val="center"/>
              <w:rPr>
                <w:rFonts w:ascii="宋体" w:cs="宋体"/>
                <w:kern w:val="0"/>
                <w:sz w:val="24"/>
              </w:rPr>
            </w:pPr>
            <w:r>
              <w:rPr>
                <w:rFonts w:hint="eastAsia" w:ascii="宋体" w:hAnsi="宋体" w:cs="宋体"/>
                <w:kern w:val="0"/>
                <w:sz w:val="24"/>
              </w:rPr>
              <w:t>购建日期</w:t>
            </w:r>
          </w:p>
        </w:tc>
        <w:tc>
          <w:tcPr>
            <w:tcW w:w="720" w:type="dxa"/>
            <w:vAlign w:val="center"/>
          </w:tcPr>
          <w:p>
            <w:pPr>
              <w:widowControl/>
              <w:jc w:val="center"/>
              <w:rPr>
                <w:rFonts w:ascii="宋体" w:cs="宋体"/>
                <w:kern w:val="0"/>
                <w:sz w:val="24"/>
              </w:rPr>
            </w:pPr>
            <w:r>
              <w:rPr>
                <w:rFonts w:hint="eastAsia" w:ascii="宋体" w:hAnsi="宋体" w:cs="宋体"/>
                <w:kern w:val="0"/>
                <w:sz w:val="24"/>
              </w:rPr>
              <w:t>计量单位</w:t>
            </w:r>
          </w:p>
        </w:tc>
        <w:tc>
          <w:tcPr>
            <w:tcW w:w="720" w:type="dxa"/>
            <w:vAlign w:val="center"/>
          </w:tcPr>
          <w:p>
            <w:pPr>
              <w:widowControl/>
              <w:jc w:val="center"/>
              <w:rPr>
                <w:rFonts w:ascii="宋体" w:cs="宋体"/>
                <w:kern w:val="0"/>
                <w:sz w:val="24"/>
              </w:rPr>
            </w:pPr>
            <w:r>
              <w:rPr>
                <w:rFonts w:hint="eastAsia" w:ascii="宋体" w:hAnsi="宋体" w:cs="宋体"/>
                <w:kern w:val="0"/>
                <w:sz w:val="24"/>
              </w:rPr>
              <w:t>单位</w:t>
            </w:r>
          </w:p>
          <w:p>
            <w:pPr>
              <w:widowControl/>
              <w:jc w:val="center"/>
              <w:rPr>
                <w:rFonts w:ascii="宋体" w:cs="宋体"/>
                <w:kern w:val="0"/>
                <w:sz w:val="24"/>
              </w:rPr>
            </w:pPr>
            <w:r>
              <w:rPr>
                <w:rFonts w:hint="eastAsia" w:ascii="宋体" w:hAnsi="宋体" w:cs="宋体"/>
                <w:kern w:val="0"/>
                <w:sz w:val="24"/>
              </w:rPr>
              <w:t>价值</w:t>
            </w:r>
          </w:p>
        </w:tc>
        <w:tc>
          <w:tcPr>
            <w:tcW w:w="720" w:type="dxa"/>
            <w:vAlign w:val="center"/>
          </w:tcPr>
          <w:p>
            <w:pPr>
              <w:widowControl/>
              <w:jc w:val="center"/>
              <w:rPr>
                <w:rFonts w:ascii="宋体" w:cs="宋体"/>
                <w:kern w:val="0"/>
                <w:sz w:val="24"/>
              </w:rPr>
            </w:pPr>
            <w:r>
              <w:rPr>
                <w:rFonts w:hint="eastAsia" w:ascii="宋体" w:hAnsi="宋体" w:cs="宋体"/>
                <w:kern w:val="0"/>
                <w:sz w:val="24"/>
              </w:rPr>
              <w:t>数量</w:t>
            </w:r>
          </w:p>
        </w:tc>
        <w:tc>
          <w:tcPr>
            <w:tcW w:w="1572" w:type="dxa"/>
            <w:vAlign w:val="center"/>
          </w:tcPr>
          <w:p>
            <w:pPr>
              <w:widowControl/>
              <w:jc w:val="center"/>
              <w:rPr>
                <w:rFonts w:ascii="宋体" w:cs="宋体"/>
                <w:kern w:val="0"/>
                <w:sz w:val="24"/>
              </w:rPr>
            </w:pPr>
            <w:r>
              <w:rPr>
                <w:rFonts w:hint="eastAsia" w:ascii="宋体" w:hAnsi="宋体" w:cs="宋体"/>
                <w:kern w:val="0"/>
                <w:sz w:val="24"/>
              </w:rPr>
              <w:t>账面价值</w:t>
            </w:r>
          </w:p>
        </w:tc>
        <w:tc>
          <w:tcPr>
            <w:tcW w:w="1488" w:type="dxa"/>
            <w:vAlign w:val="center"/>
          </w:tcPr>
          <w:p>
            <w:pPr>
              <w:widowControl/>
              <w:jc w:val="center"/>
              <w:rPr>
                <w:rFonts w:ascii="宋体" w:cs="宋体"/>
                <w:kern w:val="0"/>
                <w:sz w:val="24"/>
              </w:rPr>
            </w:pPr>
            <w:r>
              <w:rPr>
                <w:rFonts w:hint="eastAsia" w:ascii="宋体" w:hAnsi="宋体" w:cs="宋体"/>
                <w:kern w:val="0"/>
                <w:sz w:val="24"/>
              </w:rPr>
              <w:t>处置方式</w:t>
            </w:r>
          </w:p>
        </w:tc>
        <w:tc>
          <w:tcPr>
            <w:tcW w:w="2700" w:type="dxa"/>
            <w:vAlign w:val="center"/>
          </w:tcPr>
          <w:p>
            <w:pPr>
              <w:widowControl/>
              <w:jc w:val="center"/>
              <w:rPr>
                <w:rFonts w:ascii="宋体" w:cs="宋体"/>
                <w:kern w:val="0"/>
                <w:sz w:val="24"/>
              </w:rPr>
            </w:pPr>
            <w:r>
              <w:rPr>
                <w:rFonts w:hint="eastAsia" w:ascii="宋体" w:hAnsi="宋体" w:cs="宋体"/>
                <w:kern w:val="0"/>
                <w:sz w:val="24"/>
              </w:rPr>
              <w:t>申请处置原因</w:t>
            </w:r>
          </w:p>
        </w:tc>
        <w:tc>
          <w:tcPr>
            <w:tcW w:w="1052" w:type="dxa"/>
            <w:vAlign w:val="center"/>
          </w:tcPr>
          <w:p>
            <w:pPr>
              <w:widowControl/>
              <w:jc w:val="center"/>
              <w:rPr>
                <w:rFonts w:ascii="宋体" w:cs="宋体"/>
                <w:kern w:val="0"/>
                <w:sz w:val="24"/>
              </w:rPr>
            </w:pPr>
            <w:r>
              <w:rPr>
                <w:rFonts w:hint="eastAsia" w:ascii="宋体" w:hAnsi="宋体" w:cs="宋体"/>
                <w:kern w:val="0"/>
                <w:sz w:val="24"/>
              </w:rPr>
              <w:t>备</w:t>
            </w:r>
            <w:r>
              <w:rPr>
                <w:rFonts w:ascii="宋体" w:hAnsi="宋体" w:cs="宋体"/>
                <w:kern w:val="0"/>
                <w:sz w:val="24"/>
              </w:rPr>
              <w:t xml:space="preserve">  </w:t>
            </w:r>
            <w:r>
              <w:rPr>
                <w:rFonts w:hint="eastAsia" w:ascii="宋体" w:hAnsi="宋体" w:cs="宋体"/>
                <w:kern w:val="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60" w:type="dxa"/>
          </w:tcPr>
          <w:p>
            <w:pPr>
              <w:ind w:firstLine="480"/>
              <w:jc w:val="left"/>
              <w:rPr>
                <w:rFonts w:ascii="宋体" w:cs="宋体"/>
                <w:kern w:val="0"/>
                <w:sz w:val="24"/>
              </w:rPr>
            </w:pPr>
          </w:p>
        </w:tc>
        <w:tc>
          <w:tcPr>
            <w:tcW w:w="2048" w:type="dxa"/>
          </w:tcPr>
          <w:p>
            <w:pPr>
              <w:ind w:firstLine="480"/>
              <w:jc w:val="left"/>
              <w:rPr>
                <w:rFonts w:ascii="宋体" w:cs="宋体"/>
                <w:kern w:val="0"/>
                <w:sz w:val="24"/>
              </w:rPr>
            </w:pPr>
          </w:p>
        </w:tc>
        <w:tc>
          <w:tcPr>
            <w:tcW w:w="1192" w:type="dxa"/>
          </w:tcPr>
          <w:p>
            <w:pPr>
              <w:ind w:firstLine="480"/>
              <w:jc w:val="left"/>
              <w:rPr>
                <w:rFonts w:ascii="宋体" w:cs="宋体"/>
                <w:kern w:val="0"/>
                <w:sz w:val="24"/>
              </w:rPr>
            </w:pPr>
          </w:p>
        </w:tc>
        <w:tc>
          <w:tcPr>
            <w:tcW w:w="720" w:type="dxa"/>
          </w:tcPr>
          <w:p>
            <w:pPr>
              <w:ind w:firstLine="480"/>
              <w:jc w:val="left"/>
              <w:rPr>
                <w:rFonts w:ascii="宋体" w:cs="宋体"/>
                <w:kern w:val="0"/>
                <w:sz w:val="24"/>
              </w:rPr>
            </w:pPr>
          </w:p>
        </w:tc>
        <w:tc>
          <w:tcPr>
            <w:tcW w:w="1260" w:type="dxa"/>
          </w:tcPr>
          <w:p>
            <w:pPr>
              <w:ind w:firstLine="480"/>
              <w:jc w:val="left"/>
              <w:rPr>
                <w:rFonts w:ascii="宋体" w:cs="宋体"/>
                <w:kern w:val="0"/>
                <w:sz w:val="24"/>
              </w:rPr>
            </w:pPr>
          </w:p>
        </w:tc>
        <w:tc>
          <w:tcPr>
            <w:tcW w:w="720" w:type="dxa"/>
          </w:tcPr>
          <w:p>
            <w:pPr>
              <w:ind w:firstLine="480"/>
              <w:jc w:val="left"/>
              <w:rPr>
                <w:rFonts w:ascii="宋体" w:cs="宋体"/>
                <w:kern w:val="0"/>
                <w:sz w:val="24"/>
              </w:rPr>
            </w:pPr>
          </w:p>
        </w:tc>
        <w:tc>
          <w:tcPr>
            <w:tcW w:w="720" w:type="dxa"/>
          </w:tcPr>
          <w:p>
            <w:pPr>
              <w:ind w:firstLine="480"/>
              <w:jc w:val="left"/>
              <w:rPr>
                <w:rFonts w:ascii="宋体" w:cs="宋体"/>
                <w:kern w:val="0"/>
                <w:sz w:val="24"/>
              </w:rPr>
            </w:pPr>
          </w:p>
        </w:tc>
        <w:tc>
          <w:tcPr>
            <w:tcW w:w="720" w:type="dxa"/>
            <w:vAlign w:val="center"/>
          </w:tcPr>
          <w:p>
            <w:pPr>
              <w:widowControl/>
              <w:ind w:firstLine="480"/>
              <w:jc w:val="center"/>
              <w:rPr>
                <w:rFonts w:ascii="宋体" w:cs="宋体"/>
                <w:kern w:val="0"/>
                <w:sz w:val="24"/>
              </w:rPr>
            </w:pPr>
          </w:p>
        </w:tc>
        <w:tc>
          <w:tcPr>
            <w:tcW w:w="1572" w:type="dxa"/>
            <w:vAlign w:val="center"/>
          </w:tcPr>
          <w:p>
            <w:pPr>
              <w:widowControl/>
              <w:ind w:firstLine="480"/>
              <w:jc w:val="center"/>
              <w:rPr>
                <w:rFonts w:ascii="宋体" w:cs="宋体"/>
                <w:kern w:val="0"/>
                <w:sz w:val="24"/>
              </w:rPr>
            </w:pPr>
          </w:p>
        </w:tc>
        <w:tc>
          <w:tcPr>
            <w:tcW w:w="1488" w:type="dxa"/>
            <w:vAlign w:val="center"/>
          </w:tcPr>
          <w:p>
            <w:pPr>
              <w:widowControl/>
              <w:ind w:firstLine="480"/>
              <w:jc w:val="center"/>
              <w:rPr>
                <w:rFonts w:ascii="宋体" w:cs="宋体"/>
                <w:kern w:val="0"/>
                <w:sz w:val="24"/>
              </w:rPr>
            </w:pPr>
          </w:p>
        </w:tc>
        <w:tc>
          <w:tcPr>
            <w:tcW w:w="2700" w:type="dxa"/>
          </w:tcPr>
          <w:p>
            <w:pPr>
              <w:ind w:firstLine="480"/>
              <w:jc w:val="left"/>
              <w:rPr>
                <w:rFonts w:ascii="宋体" w:cs="宋体"/>
                <w:kern w:val="0"/>
                <w:sz w:val="24"/>
              </w:rPr>
            </w:pPr>
          </w:p>
        </w:tc>
        <w:tc>
          <w:tcPr>
            <w:tcW w:w="1052" w:type="dxa"/>
          </w:tcPr>
          <w:p>
            <w:pPr>
              <w:ind w:firstLine="480"/>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60" w:type="dxa"/>
          </w:tcPr>
          <w:p>
            <w:pPr>
              <w:widowControl/>
              <w:ind w:firstLine="480"/>
              <w:jc w:val="left"/>
              <w:rPr>
                <w:rFonts w:ascii="宋体" w:cs="宋体"/>
                <w:kern w:val="0"/>
                <w:sz w:val="24"/>
              </w:rPr>
            </w:pPr>
            <w:r>
              <w:rPr>
                <w:rFonts w:hint="eastAsia" w:ascii="宋体" w:hAnsi="宋体" w:cs="宋体"/>
                <w:kern w:val="0"/>
                <w:sz w:val="24"/>
              </w:rPr>
              <w:t>　</w:t>
            </w:r>
          </w:p>
        </w:tc>
        <w:tc>
          <w:tcPr>
            <w:tcW w:w="2048" w:type="dxa"/>
          </w:tcPr>
          <w:p>
            <w:pPr>
              <w:widowControl/>
              <w:ind w:firstLine="480"/>
              <w:jc w:val="left"/>
              <w:rPr>
                <w:rFonts w:ascii="宋体" w:cs="宋体"/>
                <w:kern w:val="0"/>
                <w:sz w:val="24"/>
              </w:rPr>
            </w:pPr>
            <w:r>
              <w:rPr>
                <w:rFonts w:hint="eastAsia" w:ascii="宋体" w:hAnsi="宋体" w:cs="宋体"/>
                <w:kern w:val="0"/>
                <w:sz w:val="24"/>
              </w:rPr>
              <w:t>　</w:t>
            </w:r>
          </w:p>
        </w:tc>
        <w:tc>
          <w:tcPr>
            <w:tcW w:w="1192"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1260"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1572" w:type="dxa"/>
          </w:tcPr>
          <w:p>
            <w:pPr>
              <w:ind w:firstLine="480"/>
              <w:jc w:val="left"/>
              <w:rPr>
                <w:rFonts w:ascii="宋体" w:cs="宋体"/>
                <w:kern w:val="0"/>
                <w:sz w:val="24"/>
              </w:rPr>
            </w:pPr>
          </w:p>
        </w:tc>
        <w:tc>
          <w:tcPr>
            <w:tcW w:w="1488" w:type="dxa"/>
          </w:tcPr>
          <w:p>
            <w:pPr>
              <w:widowControl/>
              <w:ind w:firstLine="480"/>
              <w:jc w:val="left"/>
              <w:rPr>
                <w:rFonts w:ascii="宋体" w:cs="宋体"/>
                <w:kern w:val="0"/>
                <w:sz w:val="24"/>
              </w:rPr>
            </w:pPr>
          </w:p>
        </w:tc>
        <w:tc>
          <w:tcPr>
            <w:tcW w:w="2700" w:type="dxa"/>
          </w:tcPr>
          <w:p>
            <w:pPr>
              <w:widowControl/>
              <w:ind w:firstLine="480"/>
              <w:jc w:val="left"/>
              <w:rPr>
                <w:rFonts w:ascii="宋体" w:cs="宋体"/>
                <w:kern w:val="0"/>
                <w:sz w:val="24"/>
              </w:rPr>
            </w:pPr>
          </w:p>
        </w:tc>
        <w:tc>
          <w:tcPr>
            <w:tcW w:w="1052" w:type="dxa"/>
          </w:tcPr>
          <w:p>
            <w:pPr>
              <w:widowControl/>
              <w:ind w:firstLine="480"/>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60" w:type="dxa"/>
          </w:tcPr>
          <w:p>
            <w:pPr>
              <w:widowControl/>
              <w:ind w:firstLine="480"/>
              <w:jc w:val="left"/>
              <w:rPr>
                <w:rFonts w:ascii="宋体" w:cs="宋体"/>
                <w:kern w:val="0"/>
                <w:sz w:val="24"/>
              </w:rPr>
            </w:pPr>
            <w:r>
              <w:rPr>
                <w:rFonts w:hint="eastAsia" w:ascii="宋体" w:hAnsi="宋体" w:cs="宋体"/>
                <w:kern w:val="0"/>
                <w:sz w:val="24"/>
              </w:rPr>
              <w:t>　</w:t>
            </w:r>
          </w:p>
        </w:tc>
        <w:tc>
          <w:tcPr>
            <w:tcW w:w="2048" w:type="dxa"/>
          </w:tcPr>
          <w:p>
            <w:pPr>
              <w:widowControl/>
              <w:ind w:firstLine="480"/>
              <w:jc w:val="left"/>
              <w:rPr>
                <w:rFonts w:ascii="宋体" w:cs="宋体"/>
                <w:kern w:val="0"/>
                <w:sz w:val="24"/>
              </w:rPr>
            </w:pPr>
            <w:r>
              <w:rPr>
                <w:rFonts w:hint="eastAsia" w:ascii="宋体" w:hAnsi="宋体" w:cs="宋体"/>
                <w:kern w:val="0"/>
                <w:sz w:val="24"/>
              </w:rPr>
              <w:t>　</w:t>
            </w:r>
          </w:p>
        </w:tc>
        <w:tc>
          <w:tcPr>
            <w:tcW w:w="1192"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1260"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1572" w:type="dxa"/>
          </w:tcPr>
          <w:p>
            <w:pPr>
              <w:ind w:firstLine="480"/>
              <w:jc w:val="left"/>
              <w:rPr>
                <w:rFonts w:ascii="宋体" w:cs="宋体"/>
                <w:kern w:val="0"/>
                <w:sz w:val="24"/>
              </w:rPr>
            </w:pPr>
          </w:p>
        </w:tc>
        <w:tc>
          <w:tcPr>
            <w:tcW w:w="1488" w:type="dxa"/>
          </w:tcPr>
          <w:p>
            <w:pPr>
              <w:widowControl/>
              <w:ind w:firstLine="480"/>
              <w:jc w:val="left"/>
              <w:rPr>
                <w:rFonts w:ascii="宋体" w:cs="宋体"/>
                <w:kern w:val="0"/>
                <w:sz w:val="24"/>
              </w:rPr>
            </w:pPr>
          </w:p>
        </w:tc>
        <w:tc>
          <w:tcPr>
            <w:tcW w:w="2700" w:type="dxa"/>
          </w:tcPr>
          <w:p>
            <w:pPr>
              <w:widowControl/>
              <w:ind w:firstLine="480"/>
              <w:jc w:val="left"/>
              <w:rPr>
                <w:rFonts w:ascii="宋体" w:cs="宋体"/>
                <w:kern w:val="0"/>
                <w:sz w:val="24"/>
              </w:rPr>
            </w:pPr>
          </w:p>
        </w:tc>
        <w:tc>
          <w:tcPr>
            <w:tcW w:w="1052" w:type="dxa"/>
          </w:tcPr>
          <w:p>
            <w:pPr>
              <w:widowControl/>
              <w:ind w:firstLine="480"/>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60" w:type="dxa"/>
          </w:tcPr>
          <w:p>
            <w:pPr>
              <w:widowControl/>
              <w:ind w:firstLine="480"/>
              <w:jc w:val="left"/>
              <w:rPr>
                <w:rFonts w:ascii="宋体" w:cs="宋体"/>
                <w:kern w:val="0"/>
                <w:sz w:val="24"/>
              </w:rPr>
            </w:pPr>
          </w:p>
        </w:tc>
        <w:tc>
          <w:tcPr>
            <w:tcW w:w="2048" w:type="dxa"/>
          </w:tcPr>
          <w:p>
            <w:pPr>
              <w:widowControl/>
              <w:ind w:firstLine="480"/>
              <w:jc w:val="left"/>
              <w:rPr>
                <w:rFonts w:ascii="宋体" w:cs="宋体"/>
                <w:kern w:val="0"/>
                <w:sz w:val="24"/>
              </w:rPr>
            </w:pPr>
          </w:p>
        </w:tc>
        <w:tc>
          <w:tcPr>
            <w:tcW w:w="1192"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1260"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1572" w:type="dxa"/>
          </w:tcPr>
          <w:p>
            <w:pPr>
              <w:ind w:firstLine="480"/>
              <w:jc w:val="left"/>
              <w:rPr>
                <w:rFonts w:ascii="宋体" w:cs="宋体"/>
                <w:kern w:val="0"/>
                <w:sz w:val="24"/>
              </w:rPr>
            </w:pPr>
          </w:p>
        </w:tc>
        <w:tc>
          <w:tcPr>
            <w:tcW w:w="1488" w:type="dxa"/>
          </w:tcPr>
          <w:p>
            <w:pPr>
              <w:widowControl/>
              <w:ind w:firstLine="480"/>
              <w:jc w:val="left"/>
              <w:rPr>
                <w:rFonts w:ascii="宋体" w:cs="宋体"/>
                <w:kern w:val="0"/>
                <w:sz w:val="24"/>
              </w:rPr>
            </w:pPr>
          </w:p>
        </w:tc>
        <w:tc>
          <w:tcPr>
            <w:tcW w:w="2700" w:type="dxa"/>
          </w:tcPr>
          <w:p>
            <w:pPr>
              <w:widowControl/>
              <w:ind w:firstLine="480"/>
              <w:jc w:val="left"/>
              <w:rPr>
                <w:rFonts w:ascii="宋体" w:cs="宋体"/>
                <w:kern w:val="0"/>
                <w:sz w:val="24"/>
              </w:rPr>
            </w:pPr>
          </w:p>
        </w:tc>
        <w:tc>
          <w:tcPr>
            <w:tcW w:w="1052" w:type="dxa"/>
          </w:tcPr>
          <w:p>
            <w:pPr>
              <w:widowControl/>
              <w:ind w:firstLine="480"/>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60" w:type="dxa"/>
          </w:tcPr>
          <w:p>
            <w:pPr>
              <w:widowControl/>
              <w:ind w:firstLine="480"/>
              <w:jc w:val="left"/>
              <w:rPr>
                <w:rFonts w:ascii="宋体" w:cs="宋体"/>
                <w:kern w:val="0"/>
                <w:sz w:val="24"/>
              </w:rPr>
            </w:pPr>
          </w:p>
        </w:tc>
        <w:tc>
          <w:tcPr>
            <w:tcW w:w="2048" w:type="dxa"/>
          </w:tcPr>
          <w:p>
            <w:pPr>
              <w:widowControl/>
              <w:ind w:firstLine="480"/>
              <w:jc w:val="left"/>
              <w:rPr>
                <w:rFonts w:ascii="宋体" w:cs="宋体"/>
                <w:kern w:val="0"/>
                <w:sz w:val="24"/>
              </w:rPr>
            </w:pPr>
          </w:p>
        </w:tc>
        <w:tc>
          <w:tcPr>
            <w:tcW w:w="1192"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1260"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1572" w:type="dxa"/>
          </w:tcPr>
          <w:p>
            <w:pPr>
              <w:ind w:firstLine="480"/>
              <w:jc w:val="left"/>
              <w:rPr>
                <w:rFonts w:ascii="宋体" w:cs="宋体"/>
                <w:kern w:val="0"/>
                <w:sz w:val="24"/>
              </w:rPr>
            </w:pPr>
          </w:p>
        </w:tc>
        <w:tc>
          <w:tcPr>
            <w:tcW w:w="1488" w:type="dxa"/>
          </w:tcPr>
          <w:p>
            <w:pPr>
              <w:widowControl/>
              <w:ind w:firstLine="480"/>
              <w:jc w:val="left"/>
              <w:rPr>
                <w:rFonts w:ascii="宋体" w:cs="宋体"/>
                <w:kern w:val="0"/>
                <w:sz w:val="24"/>
              </w:rPr>
            </w:pPr>
          </w:p>
        </w:tc>
        <w:tc>
          <w:tcPr>
            <w:tcW w:w="2700" w:type="dxa"/>
          </w:tcPr>
          <w:p>
            <w:pPr>
              <w:widowControl/>
              <w:ind w:firstLine="480"/>
              <w:jc w:val="left"/>
              <w:rPr>
                <w:rFonts w:ascii="宋体" w:cs="宋体"/>
                <w:kern w:val="0"/>
                <w:sz w:val="24"/>
              </w:rPr>
            </w:pPr>
          </w:p>
        </w:tc>
        <w:tc>
          <w:tcPr>
            <w:tcW w:w="1052" w:type="dxa"/>
          </w:tcPr>
          <w:p>
            <w:pPr>
              <w:widowControl/>
              <w:ind w:firstLine="480"/>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60" w:type="dxa"/>
          </w:tcPr>
          <w:p>
            <w:pPr>
              <w:widowControl/>
              <w:ind w:firstLine="480"/>
              <w:jc w:val="left"/>
              <w:rPr>
                <w:rFonts w:ascii="宋体" w:cs="宋体"/>
                <w:kern w:val="0"/>
                <w:sz w:val="24"/>
              </w:rPr>
            </w:pPr>
          </w:p>
        </w:tc>
        <w:tc>
          <w:tcPr>
            <w:tcW w:w="2048" w:type="dxa"/>
          </w:tcPr>
          <w:p>
            <w:pPr>
              <w:widowControl/>
              <w:ind w:firstLine="480"/>
              <w:jc w:val="left"/>
              <w:rPr>
                <w:rFonts w:ascii="宋体" w:cs="宋体"/>
                <w:kern w:val="0"/>
                <w:sz w:val="24"/>
              </w:rPr>
            </w:pPr>
          </w:p>
        </w:tc>
        <w:tc>
          <w:tcPr>
            <w:tcW w:w="1192"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1260"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1572" w:type="dxa"/>
          </w:tcPr>
          <w:p>
            <w:pPr>
              <w:ind w:firstLine="480"/>
              <w:jc w:val="left"/>
              <w:rPr>
                <w:rFonts w:ascii="宋体" w:cs="宋体"/>
                <w:kern w:val="0"/>
                <w:sz w:val="24"/>
              </w:rPr>
            </w:pPr>
          </w:p>
        </w:tc>
        <w:tc>
          <w:tcPr>
            <w:tcW w:w="1488" w:type="dxa"/>
          </w:tcPr>
          <w:p>
            <w:pPr>
              <w:widowControl/>
              <w:ind w:firstLine="480"/>
              <w:jc w:val="left"/>
              <w:rPr>
                <w:rFonts w:ascii="宋体" w:cs="宋体"/>
                <w:kern w:val="0"/>
                <w:sz w:val="24"/>
              </w:rPr>
            </w:pPr>
          </w:p>
        </w:tc>
        <w:tc>
          <w:tcPr>
            <w:tcW w:w="2700" w:type="dxa"/>
          </w:tcPr>
          <w:p>
            <w:pPr>
              <w:widowControl/>
              <w:ind w:firstLine="480"/>
              <w:jc w:val="left"/>
              <w:rPr>
                <w:rFonts w:ascii="宋体" w:cs="宋体"/>
                <w:kern w:val="0"/>
                <w:sz w:val="24"/>
              </w:rPr>
            </w:pPr>
          </w:p>
        </w:tc>
        <w:tc>
          <w:tcPr>
            <w:tcW w:w="1052" w:type="dxa"/>
          </w:tcPr>
          <w:p>
            <w:pPr>
              <w:widowControl/>
              <w:ind w:firstLine="480"/>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60" w:type="dxa"/>
          </w:tcPr>
          <w:p>
            <w:pPr>
              <w:widowControl/>
              <w:ind w:firstLine="480"/>
              <w:jc w:val="left"/>
              <w:rPr>
                <w:rFonts w:ascii="宋体" w:cs="宋体"/>
                <w:kern w:val="0"/>
                <w:sz w:val="24"/>
              </w:rPr>
            </w:pPr>
          </w:p>
        </w:tc>
        <w:tc>
          <w:tcPr>
            <w:tcW w:w="2048" w:type="dxa"/>
            <w:vAlign w:val="center"/>
          </w:tcPr>
          <w:p>
            <w:pPr>
              <w:widowControl/>
              <w:jc w:val="center"/>
              <w:rPr>
                <w:rFonts w:ascii="宋体" w:cs="宋体"/>
                <w:kern w:val="0"/>
                <w:sz w:val="24"/>
              </w:rP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1192"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1260"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720" w:type="dxa"/>
          </w:tcPr>
          <w:p>
            <w:pPr>
              <w:widowControl/>
              <w:ind w:firstLine="480"/>
              <w:jc w:val="left"/>
              <w:rPr>
                <w:rFonts w:ascii="宋体" w:cs="宋体"/>
                <w:kern w:val="0"/>
                <w:sz w:val="24"/>
              </w:rPr>
            </w:pPr>
          </w:p>
        </w:tc>
        <w:tc>
          <w:tcPr>
            <w:tcW w:w="1572" w:type="dxa"/>
          </w:tcPr>
          <w:p>
            <w:pPr>
              <w:ind w:firstLine="480"/>
              <w:jc w:val="left"/>
              <w:rPr>
                <w:rFonts w:ascii="宋体" w:cs="宋体"/>
                <w:kern w:val="0"/>
                <w:sz w:val="24"/>
              </w:rPr>
            </w:pPr>
          </w:p>
        </w:tc>
        <w:tc>
          <w:tcPr>
            <w:tcW w:w="1488" w:type="dxa"/>
          </w:tcPr>
          <w:p>
            <w:pPr>
              <w:widowControl/>
              <w:ind w:firstLine="480"/>
              <w:jc w:val="left"/>
              <w:rPr>
                <w:rFonts w:ascii="宋体" w:cs="宋体"/>
                <w:kern w:val="0"/>
                <w:sz w:val="24"/>
              </w:rPr>
            </w:pPr>
          </w:p>
        </w:tc>
        <w:tc>
          <w:tcPr>
            <w:tcW w:w="2700" w:type="dxa"/>
          </w:tcPr>
          <w:p>
            <w:pPr>
              <w:widowControl/>
              <w:ind w:firstLine="480"/>
              <w:jc w:val="left"/>
              <w:rPr>
                <w:rFonts w:ascii="宋体" w:cs="宋体"/>
                <w:kern w:val="0"/>
                <w:sz w:val="24"/>
              </w:rPr>
            </w:pPr>
          </w:p>
        </w:tc>
        <w:tc>
          <w:tcPr>
            <w:tcW w:w="1052" w:type="dxa"/>
          </w:tcPr>
          <w:p>
            <w:pPr>
              <w:widowControl/>
              <w:ind w:firstLine="480"/>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2" w:hRule="atLeast"/>
          <w:jc w:val="center"/>
        </w:trPr>
        <w:tc>
          <w:tcPr>
            <w:tcW w:w="4720" w:type="dxa"/>
            <w:gridSpan w:val="4"/>
          </w:tcPr>
          <w:p>
            <w:pPr>
              <w:widowControl/>
              <w:jc w:val="left"/>
              <w:rPr>
                <w:rFonts w:ascii="宋体" w:cs="宋体"/>
                <w:kern w:val="0"/>
                <w:sz w:val="24"/>
              </w:rPr>
            </w:pPr>
            <w:r>
              <w:rPr>
                <w:rFonts w:hint="eastAsia" w:ascii="宋体" w:hAnsi="宋体" w:cs="宋体"/>
                <w:kern w:val="0"/>
                <w:sz w:val="24"/>
              </w:rPr>
              <w:t>单位负责人审核意见：</w:t>
            </w:r>
          </w:p>
          <w:p>
            <w:pPr>
              <w:widowControl/>
              <w:jc w:val="left"/>
              <w:rPr>
                <w:rFonts w:ascii="宋体" w:cs="宋体"/>
                <w:kern w:val="0"/>
                <w:sz w:val="24"/>
              </w:rPr>
            </w:pPr>
          </w:p>
          <w:p>
            <w:pPr>
              <w:widowControl/>
              <w:jc w:val="left"/>
              <w:rPr>
                <w:rFonts w:ascii="宋体" w:cs="宋体"/>
                <w:kern w:val="0"/>
                <w:sz w:val="24"/>
              </w:rPr>
            </w:pPr>
          </w:p>
          <w:p>
            <w:pPr>
              <w:widowControl/>
              <w:jc w:val="left"/>
              <w:rPr>
                <w:rFonts w:ascii="宋体" w:cs="宋体"/>
                <w:kern w:val="0"/>
                <w:sz w:val="24"/>
              </w:rPr>
            </w:pPr>
          </w:p>
          <w:p>
            <w:pPr>
              <w:widowControl/>
              <w:jc w:val="left"/>
              <w:rPr>
                <w:rFonts w:ascii="宋体" w:cs="宋体"/>
                <w:kern w:val="0"/>
                <w:sz w:val="24"/>
              </w:rPr>
            </w:pPr>
          </w:p>
          <w:p>
            <w:pPr>
              <w:widowControl/>
              <w:jc w:val="left"/>
              <w:rPr>
                <w:rFonts w:ascii="宋体" w:cs="宋体"/>
                <w:kern w:val="0"/>
                <w:sz w:val="24"/>
              </w:rPr>
            </w:pPr>
          </w:p>
          <w:p>
            <w:pPr>
              <w:widowControl/>
              <w:jc w:val="left"/>
              <w:rPr>
                <w:rFonts w:ascii="宋体" w:cs="宋体"/>
                <w:kern w:val="0"/>
                <w:sz w:val="24"/>
              </w:rPr>
            </w:pPr>
          </w:p>
          <w:p>
            <w:pPr>
              <w:widowControl/>
              <w:jc w:val="left"/>
              <w:rPr>
                <w:rFonts w:ascii="宋体" w:cs="宋体"/>
                <w:kern w:val="0"/>
                <w:sz w:val="24"/>
              </w:rPr>
            </w:pPr>
          </w:p>
          <w:p>
            <w:pPr>
              <w:widowControl/>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签字（公章）</w:t>
            </w:r>
          </w:p>
          <w:p>
            <w:pPr>
              <w:widowControl/>
              <w:jc w:val="left"/>
              <w:rPr>
                <w:rFonts w:ascii="宋体" w:cs="宋体"/>
                <w:kern w:val="0"/>
                <w:sz w:val="24"/>
              </w:rPr>
            </w:pPr>
          </w:p>
          <w:p>
            <w:pPr>
              <w:widowControl/>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tc>
        <w:tc>
          <w:tcPr>
            <w:tcW w:w="4992" w:type="dxa"/>
            <w:gridSpan w:val="5"/>
          </w:tcPr>
          <w:p>
            <w:pPr>
              <w:jc w:val="left"/>
              <w:rPr>
                <w:rFonts w:ascii="宋体" w:cs="宋体"/>
                <w:kern w:val="0"/>
                <w:sz w:val="24"/>
              </w:rPr>
            </w:pPr>
            <w:r>
              <w:rPr>
                <w:rFonts w:hint="eastAsia" w:ascii="宋体" w:hAnsi="宋体" w:cs="宋体"/>
                <w:kern w:val="0"/>
                <w:sz w:val="24"/>
              </w:rPr>
              <w:t>主管部门审核意见：</w:t>
            </w:r>
          </w:p>
          <w:p>
            <w:pPr>
              <w:jc w:val="left"/>
              <w:rPr>
                <w:rFonts w:ascii="宋体" w:cs="宋体"/>
                <w:kern w:val="0"/>
                <w:sz w:val="24"/>
              </w:rPr>
            </w:pPr>
          </w:p>
          <w:p>
            <w:pPr>
              <w:jc w:val="left"/>
              <w:rPr>
                <w:rFonts w:ascii="宋体" w:cs="宋体"/>
                <w:kern w:val="0"/>
                <w:sz w:val="24"/>
              </w:rPr>
            </w:pPr>
          </w:p>
          <w:p>
            <w:pPr>
              <w:jc w:val="left"/>
              <w:rPr>
                <w:rFonts w:ascii="宋体" w:cs="宋体"/>
                <w:kern w:val="0"/>
                <w:sz w:val="24"/>
              </w:rPr>
            </w:pPr>
          </w:p>
          <w:p>
            <w:pPr>
              <w:jc w:val="left"/>
              <w:rPr>
                <w:rFonts w:ascii="宋体" w:cs="宋体"/>
                <w:kern w:val="0"/>
                <w:sz w:val="24"/>
              </w:rPr>
            </w:pPr>
          </w:p>
          <w:p>
            <w:pPr>
              <w:jc w:val="left"/>
              <w:rPr>
                <w:rFonts w:ascii="宋体" w:cs="宋体"/>
                <w:kern w:val="0"/>
                <w:sz w:val="24"/>
              </w:rPr>
            </w:pPr>
          </w:p>
          <w:p>
            <w:pPr>
              <w:jc w:val="left"/>
              <w:rPr>
                <w:rFonts w:ascii="宋体" w:cs="宋体"/>
                <w:kern w:val="0"/>
                <w:sz w:val="24"/>
              </w:rPr>
            </w:pPr>
          </w:p>
          <w:p>
            <w:pPr>
              <w:jc w:val="left"/>
              <w:rPr>
                <w:rFonts w:ascii="宋体" w:cs="宋体"/>
                <w:kern w:val="0"/>
                <w:sz w:val="24"/>
              </w:rPr>
            </w:pPr>
          </w:p>
          <w:p>
            <w:pPr>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签字（公章）</w:t>
            </w:r>
          </w:p>
          <w:p>
            <w:pPr>
              <w:jc w:val="left"/>
              <w:rPr>
                <w:rFonts w:ascii="宋体" w:cs="宋体"/>
                <w:kern w:val="0"/>
                <w:sz w:val="24"/>
              </w:rPr>
            </w:pPr>
          </w:p>
          <w:p>
            <w:pPr>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tc>
        <w:tc>
          <w:tcPr>
            <w:tcW w:w="5240" w:type="dxa"/>
            <w:gridSpan w:val="3"/>
          </w:tcPr>
          <w:p>
            <w:pPr>
              <w:widowControl/>
              <w:jc w:val="left"/>
              <w:rPr>
                <w:rFonts w:ascii="宋体" w:cs="宋体"/>
                <w:kern w:val="0"/>
                <w:sz w:val="24"/>
              </w:rPr>
            </w:pPr>
            <w:r>
              <w:rPr>
                <w:rFonts w:hint="eastAsia" w:ascii="宋体" w:hAnsi="宋体" w:cs="宋体"/>
                <w:kern w:val="0"/>
                <w:sz w:val="24"/>
              </w:rPr>
              <w:t>财政（国资）部门审批意见：</w:t>
            </w:r>
          </w:p>
          <w:p>
            <w:pPr>
              <w:widowControl/>
              <w:jc w:val="left"/>
              <w:rPr>
                <w:rFonts w:ascii="宋体" w:cs="宋体"/>
                <w:kern w:val="0"/>
                <w:sz w:val="24"/>
              </w:rPr>
            </w:pPr>
          </w:p>
          <w:p>
            <w:pPr>
              <w:widowControl/>
              <w:jc w:val="left"/>
              <w:rPr>
                <w:rFonts w:ascii="宋体" w:cs="宋体"/>
                <w:kern w:val="0"/>
                <w:sz w:val="24"/>
              </w:rPr>
            </w:pPr>
          </w:p>
          <w:p>
            <w:pPr>
              <w:widowControl/>
              <w:jc w:val="left"/>
              <w:rPr>
                <w:rFonts w:ascii="宋体" w:cs="宋体"/>
                <w:kern w:val="0"/>
                <w:sz w:val="24"/>
              </w:rPr>
            </w:pPr>
          </w:p>
          <w:p>
            <w:pPr>
              <w:widowControl/>
              <w:jc w:val="left"/>
              <w:rPr>
                <w:rFonts w:ascii="宋体" w:cs="宋体"/>
                <w:kern w:val="0"/>
                <w:sz w:val="24"/>
              </w:rPr>
            </w:pPr>
          </w:p>
          <w:p>
            <w:pPr>
              <w:widowControl/>
              <w:jc w:val="left"/>
              <w:rPr>
                <w:rFonts w:ascii="宋体" w:cs="宋体"/>
                <w:kern w:val="0"/>
                <w:sz w:val="24"/>
              </w:rPr>
            </w:pPr>
          </w:p>
          <w:p>
            <w:pPr>
              <w:widowControl/>
              <w:jc w:val="left"/>
              <w:rPr>
                <w:rFonts w:ascii="宋体" w:cs="宋体"/>
                <w:kern w:val="0"/>
                <w:sz w:val="24"/>
              </w:rPr>
            </w:pPr>
          </w:p>
          <w:p>
            <w:pPr>
              <w:widowControl/>
              <w:jc w:val="left"/>
              <w:rPr>
                <w:rFonts w:ascii="宋体" w:cs="宋体"/>
                <w:kern w:val="0"/>
                <w:sz w:val="24"/>
              </w:rPr>
            </w:pPr>
          </w:p>
          <w:p>
            <w:pPr>
              <w:widowControl/>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（公章）</w:t>
            </w:r>
          </w:p>
          <w:p>
            <w:pPr>
              <w:widowControl/>
              <w:jc w:val="left"/>
              <w:rPr>
                <w:rFonts w:ascii="宋体" w:cs="宋体"/>
                <w:kern w:val="0"/>
                <w:sz w:val="24"/>
              </w:rPr>
            </w:pPr>
          </w:p>
          <w:p>
            <w:pPr>
              <w:widowControl/>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tc>
      </w:tr>
    </w:tbl>
    <w:p>
      <w:pPr>
        <w:rPr>
          <w:rFonts w:ascii="宋体"/>
          <w:sz w:val="24"/>
        </w:rPr>
      </w:pPr>
      <w:r>
        <w:rPr>
          <w:rFonts w:hint="eastAsia" w:ascii="宋体" w:hAnsi="宋体"/>
          <w:sz w:val="24"/>
        </w:rPr>
        <w:t>财务人员（签字）：</w:t>
      </w:r>
      <w:r>
        <w:rPr>
          <w:rFonts w:ascii="宋体" w:hAnsi="宋体"/>
          <w:sz w:val="24"/>
        </w:rPr>
        <w:t xml:space="preserve">                                                        </w:t>
      </w:r>
      <w:r>
        <w:rPr>
          <w:rFonts w:hint="eastAsia" w:ascii="宋体" w:hAnsi="宋体"/>
          <w:sz w:val="24"/>
        </w:rPr>
        <w:t>资产管理员（签字）：</w:t>
      </w:r>
      <w:r>
        <w:rPr>
          <w:rFonts w:ascii="宋体" w:hAnsi="宋体"/>
          <w:sz w:val="24"/>
        </w:rPr>
        <w:t xml:space="preserve">                         </w:t>
      </w:r>
    </w:p>
    <w:p>
      <w:pPr>
        <w:autoSpaceDE w:val="0"/>
        <w:autoSpaceDN w:val="0"/>
        <w:adjustRightInd w:val="0"/>
        <w:spacing w:line="240" w:lineRule="exact"/>
        <w:jc w:val="left"/>
        <w:rPr>
          <w:rFonts w:ascii="????" w:hAnsi="????" w:cs="????"/>
          <w:color w:val="000000"/>
          <w:kern w:val="0"/>
          <w:szCs w:val="21"/>
          <w:shd w:val="clear" w:color="auto" w:fill="FFFFFF"/>
        </w:rPr>
        <w:sectPr>
          <w:pgSz w:w="16838" w:h="11906" w:orient="landscape"/>
          <w:pgMar w:top="567" w:right="964" w:bottom="567" w:left="1361" w:header="851" w:footer="992" w:gutter="0"/>
          <w:cols w:space="720" w:num="1"/>
          <w:docGrid w:type="linesAndChars" w:linePitch="312" w:charSpace="0"/>
        </w:sectPr>
      </w:pPr>
      <w:r>
        <w:rPr>
          <w:rFonts w:hint="eastAsia" w:ascii="????" w:hAnsi="????" w:cs="????"/>
          <w:color w:val="000000"/>
          <w:kern w:val="0"/>
          <w:szCs w:val="21"/>
          <w:shd w:val="clear" w:color="auto" w:fill="FFFFFF"/>
        </w:rPr>
        <w:t>说明：</w:t>
      </w:r>
      <w:r>
        <w:rPr>
          <w:rFonts w:ascii="????" w:hAnsi="????" w:cs="????"/>
          <w:color w:val="000000"/>
          <w:kern w:val="0"/>
          <w:szCs w:val="21"/>
          <w:shd w:val="clear" w:color="auto" w:fill="FFFFFF"/>
        </w:rPr>
        <w:t>1</w:t>
      </w:r>
      <w:r>
        <w:rPr>
          <w:rFonts w:hint="eastAsia" w:ascii="????" w:hAnsi="????" w:cs="????"/>
          <w:color w:val="000000"/>
          <w:kern w:val="0"/>
          <w:szCs w:val="21"/>
          <w:shd w:val="clear" w:color="auto" w:fill="FFFFFF"/>
        </w:rPr>
        <w:t>、车辆处置在备注栏填写牌照及车架号。</w:t>
      </w:r>
      <w:r>
        <w:rPr>
          <w:rFonts w:ascii="????" w:hAnsi="????" w:cs="????"/>
          <w:color w:val="000000"/>
          <w:kern w:val="0"/>
          <w:szCs w:val="21"/>
          <w:shd w:val="clear" w:color="auto" w:fill="FFFFFF"/>
        </w:rPr>
        <w:t>2</w:t>
      </w:r>
      <w:r>
        <w:rPr>
          <w:rFonts w:hint="eastAsia" w:ascii="????" w:hAnsi="????" w:cs="????"/>
          <w:color w:val="000000"/>
          <w:kern w:val="0"/>
          <w:szCs w:val="21"/>
          <w:shd w:val="clear" w:color="auto" w:fill="FFFFFF"/>
        </w:rPr>
        <w:t>、本表一式三份：申报单位、主管部门、财政部门各一份</w:t>
      </w:r>
    </w:p>
    <w:p>
      <w:pPr>
        <w:rPr>
          <w:b/>
          <w:bCs/>
          <w:sz w:val="32"/>
          <w:szCs w:val="32"/>
        </w:rPr>
      </w:pPr>
      <w:r>
        <w:rPr>
          <w:b/>
          <w:bCs/>
          <w:sz w:val="24"/>
        </w:rPr>
        <w:t xml:space="preserve"> </w:t>
      </w:r>
      <w:r>
        <w:rPr>
          <w:rFonts w:hint="eastAsia"/>
          <w:b/>
          <w:bCs/>
          <w:sz w:val="24"/>
        </w:rPr>
        <w:t>附件</w:t>
      </w:r>
      <w:r>
        <w:rPr>
          <w:b/>
          <w:bCs/>
          <w:sz w:val="24"/>
        </w:rPr>
        <w:t xml:space="preserve">2 </w:t>
      </w:r>
      <w:r>
        <w:rPr>
          <w:b/>
          <w:bCs/>
          <w:sz w:val="32"/>
          <w:szCs w:val="32"/>
        </w:rPr>
        <w:t xml:space="preserve">                    </w:t>
      </w:r>
    </w:p>
    <w:p>
      <w:pPr>
        <w:rPr>
          <w:b/>
          <w:bCs/>
          <w:sz w:val="32"/>
          <w:szCs w:val="32"/>
        </w:rPr>
      </w:pPr>
      <w:r>
        <w:rPr>
          <w:b/>
          <w:bCs/>
          <w:sz w:val="32"/>
          <w:szCs w:val="32"/>
        </w:rPr>
        <w:t xml:space="preserve">                      </w:t>
      </w:r>
      <w:r>
        <w:rPr>
          <w:rFonts w:hint="eastAsia"/>
          <w:b/>
          <w:bCs/>
          <w:sz w:val="32"/>
          <w:szCs w:val="32"/>
        </w:rPr>
        <w:t>龙湾区行政事业单位国有资产调拨审批表</w:t>
      </w:r>
    </w:p>
    <w:p>
      <w:pPr>
        <w:rPr>
          <w:rFonts w:ascii="AdobeSongStd-Light" w:hAnsi="AdobeSongStd-Light" w:eastAsia="AdobeSongStd-Light"/>
          <w:sz w:val="24"/>
        </w:rPr>
      </w:pPr>
      <w:r>
        <w:rPr>
          <w:rFonts w:hint="eastAsia" w:ascii="AdobeSongStd-Light" w:hAnsi="AdobeSongStd-Light" w:eastAsia="AdobeSongStd-Light"/>
          <w:sz w:val="24"/>
        </w:rPr>
        <w:t>调出单位：</w:t>
      </w:r>
      <w:r>
        <w:rPr>
          <w:rFonts w:ascii="AdobeSongStd-Light" w:hAnsi="AdobeSongStd-Light" w:eastAsia="AdobeSongStd-Light"/>
          <w:sz w:val="24"/>
        </w:rPr>
        <w:t xml:space="preserve">                                      </w:t>
      </w:r>
      <w:r>
        <w:rPr>
          <w:rFonts w:hint="eastAsia" w:ascii="AdobeSongStd-Light" w:hAnsi="AdobeSongStd-Light" w:eastAsia="AdobeSongStd-Light"/>
          <w:sz w:val="24"/>
        </w:rPr>
        <w:t>单据号：</w:t>
      </w:r>
    </w:p>
    <w:p>
      <w:pPr>
        <w:rPr>
          <w:rFonts w:ascii="AdobeSongStd-Light" w:hAnsi="AdobeSongStd-Light" w:eastAsia="AdobeSongStd-Light"/>
          <w:sz w:val="24"/>
        </w:rPr>
      </w:pPr>
      <w:r>
        <w:rPr>
          <w:rFonts w:hint="eastAsia" w:ascii="AdobeSongStd-Light" w:hAnsi="AdobeSongStd-Light" w:eastAsia="AdobeSongStd-Light"/>
          <w:sz w:val="24"/>
        </w:rPr>
        <w:t>调入单位：</w:t>
      </w:r>
      <w:r>
        <w:rPr>
          <w:rFonts w:ascii="AdobeSongStd-Light" w:hAnsi="AdobeSongStd-Light" w:eastAsia="AdobeSongStd-Light"/>
          <w:sz w:val="24"/>
        </w:rPr>
        <w:t xml:space="preserve">                                      </w:t>
      </w:r>
      <w:r>
        <w:rPr>
          <w:rFonts w:hint="eastAsia" w:ascii="AdobeSongStd-Light" w:hAnsi="AdobeSongStd-Light" w:eastAsia="AdobeSongStd-Light"/>
          <w:sz w:val="24"/>
        </w:rPr>
        <w:t>打印日期：</w:t>
      </w:r>
      <w:r>
        <w:rPr>
          <w:rFonts w:ascii="AdobeSongStd-Light" w:hAnsi="AdobeSongStd-Light" w:eastAsia="AdobeSongStd-Light"/>
          <w:sz w:val="24"/>
        </w:rPr>
        <w:t xml:space="preserve">     </w:t>
      </w:r>
      <w:r>
        <w:rPr>
          <w:rFonts w:hint="eastAsia" w:ascii="AdobeSongStd-Light" w:hAnsi="AdobeSongStd-Light" w:eastAsia="AdobeSongStd-Light"/>
          <w:sz w:val="24"/>
        </w:rPr>
        <w:t>年</w:t>
      </w:r>
      <w:r>
        <w:rPr>
          <w:rFonts w:ascii="AdobeSongStd-Light" w:hAnsi="AdobeSongStd-Light" w:eastAsia="AdobeSongStd-Light"/>
          <w:sz w:val="24"/>
        </w:rPr>
        <w:t xml:space="preserve">    </w:t>
      </w:r>
      <w:r>
        <w:rPr>
          <w:rFonts w:hint="eastAsia" w:ascii="AdobeSongStd-Light" w:hAnsi="AdobeSongStd-Light" w:eastAsia="AdobeSongStd-Light"/>
          <w:sz w:val="24"/>
        </w:rPr>
        <w:t>月</w:t>
      </w:r>
      <w:r>
        <w:rPr>
          <w:rFonts w:ascii="AdobeSongStd-Light" w:hAnsi="AdobeSongStd-Light" w:eastAsia="AdobeSongStd-Light"/>
          <w:sz w:val="24"/>
        </w:rPr>
        <w:t xml:space="preserve">   </w:t>
      </w:r>
      <w:r>
        <w:rPr>
          <w:rFonts w:hint="eastAsia" w:ascii="AdobeSongStd-Light" w:hAnsi="AdobeSongStd-Light" w:eastAsia="AdobeSongStd-Light"/>
          <w:sz w:val="24"/>
        </w:rPr>
        <w:t>日</w:t>
      </w:r>
      <w:r>
        <w:rPr>
          <w:rFonts w:ascii="AdobeSongStd-Light" w:hAnsi="AdobeSongStd-Light" w:eastAsia="AdobeSongStd-Light"/>
          <w:sz w:val="24"/>
        </w:rPr>
        <w:t xml:space="preserve">                            </w:t>
      </w:r>
      <w:r>
        <w:rPr>
          <w:rFonts w:hint="eastAsia" w:ascii="AdobeSongStd-Light" w:hAnsi="AdobeSongStd-Light" w:eastAsia="AdobeSongStd-Light"/>
          <w:sz w:val="24"/>
        </w:rPr>
        <w:t>金额单位：元</w:t>
      </w: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575"/>
        <w:gridCol w:w="1575"/>
        <w:gridCol w:w="1575"/>
        <w:gridCol w:w="1575"/>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tcPr>
          <w:p>
            <w:pPr>
              <w:jc w:val="center"/>
              <w:rPr>
                <w:rFonts w:ascii="AdobeSongStd-Light" w:hAnsi="AdobeSongStd-Light" w:eastAsia="AdobeSongStd-Light"/>
                <w:sz w:val="24"/>
              </w:rPr>
            </w:pPr>
            <w:r>
              <w:rPr>
                <w:rFonts w:hint="eastAsia" w:ascii="AdobeSongStd-Light" w:hAnsi="AdobeSongStd-Light" w:eastAsia="AdobeSongStd-Light"/>
                <w:sz w:val="24"/>
              </w:rPr>
              <w:t>序号</w:t>
            </w:r>
          </w:p>
        </w:tc>
        <w:tc>
          <w:tcPr>
            <w:tcW w:w="1575" w:type="dxa"/>
          </w:tcPr>
          <w:p>
            <w:pPr>
              <w:jc w:val="center"/>
              <w:rPr>
                <w:rFonts w:ascii="AdobeSongStd-Light" w:hAnsi="AdobeSongStd-Light" w:eastAsia="AdobeSongStd-Light"/>
                <w:sz w:val="24"/>
              </w:rPr>
            </w:pPr>
            <w:r>
              <w:rPr>
                <w:rFonts w:hint="eastAsia" w:ascii="AdobeSongStd-Light" w:hAnsi="AdobeSongStd-Light" w:eastAsia="AdobeSongStd-Light"/>
                <w:sz w:val="24"/>
              </w:rPr>
              <w:t>资产名称</w:t>
            </w:r>
          </w:p>
        </w:tc>
        <w:tc>
          <w:tcPr>
            <w:tcW w:w="1575" w:type="dxa"/>
          </w:tcPr>
          <w:p>
            <w:pPr>
              <w:jc w:val="center"/>
              <w:rPr>
                <w:rFonts w:ascii="AdobeSongStd-Light" w:hAnsi="AdobeSongStd-Light" w:eastAsia="AdobeSongStd-Light"/>
                <w:sz w:val="24"/>
              </w:rPr>
            </w:pPr>
            <w:r>
              <w:rPr>
                <w:rFonts w:hint="eastAsia" w:ascii="AdobeSongStd-Light" w:hAnsi="AdobeSongStd-Light" w:eastAsia="AdobeSongStd-Light"/>
                <w:sz w:val="24"/>
              </w:rPr>
              <w:t>资产编号</w:t>
            </w:r>
          </w:p>
        </w:tc>
        <w:tc>
          <w:tcPr>
            <w:tcW w:w="1575" w:type="dxa"/>
          </w:tcPr>
          <w:p>
            <w:pPr>
              <w:jc w:val="center"/>
              <w:rPr>
                <w:rFonts w:ascii="AdobeSongStd-Light" w:hAnsi="AdobeSongStd-Light" w:eastAsia="AdobeSongStd-Light"/>
                <w:sz w:val="24"/>
              </w:rPr>
            </w:pPr>
            <w:r>
              <w:rPr>
                <w:rFonts w:hint="eastAsia" w:ascii="AdobeSongStd-Light" w:hAnsi="AdobeSongStd-Light" w:eastAsia="AdobeSongStd-Light"/>
                <w:sz w:val="24"/>
              </w:rPr>
              <w:t>规格型号</w:t>
            </w:r>
          </w:p>
        </w:tc>
        <w:tc>
          <w:tcPr>
            <w:tcW w:w="1575" w:type="dxa"/>
          </w:tcPr>
          <w:p>
            <w:pPr>
              <w:jc w:val="center"/>
              <w:rPr>
                <w:rFonts w:ascii="AdobeSongStd-Light" w:hAnsi="AdobeSongStd-Light" w:eastAsia="AdobeSongStd-Light"/>
                <w:sz w:val="24"/>
              </w:rPr>
            </w:pPr>
            <w:r>
              <w:rPr>
                <w:rFonts w:hint="eastAsia" w:ascii="AdobeSongStd-Light" w:hAnsi="AdobeSongStd-Light" w:eastAsia="AdobeSongStd-Light"/>
                <w:sz w:val="24"/>
              </w:rPr>
              <w:t>购建日期</w:t>
            </w:r>
          </w:p>
        </w:tc>
        <w:tc>
          <w:tcPr>
            <w:tcW w:w="1575" w:type="dxa"/>
          </w:tcPr>
          <w:p>
            <w:pPr>
              <w:jc w:val="center"/>
              <w:rPr>
                <w:rFonts w:ascii="AdobeSongStd-Light" w:hAnsi="AdobeSongStd-Light" w:eastAsia="AdobeSongStd-Light"/>
                <w:sz w:val="24"/>
              </w:rPr>
            </w:pPr>
            <w:r>
              <w:rPr>
                <w:rFonts w:hint="eastAsia" w:ascii="AdobeSongStd-Light" w:hAnsi="AdobeSongStd-Light" w:eastAsia="AdobeSongStd-Light"/>
                <w:sz w:val="24"/>
              </w:rPr>
              <w:t>计量单位</w:t>
            </w:r>
          </w:p>
        </w:tc>
        <w:tc>
          <w:tcPr>
            <w:tcW w:w="1575" w:type="dxa"/>
          </w:tcPr>
          <w:p>
            <w:pPr>
              <w:jc w:val="center"/>
              <w:rPr>
                <w:rFonts w:ascii="AdobeSongStd-Light" w:hAnsi="AdobeSongStd-Light" w:eastAsia="AdobeSongStd-Light"/>
                <w:sz w:val="24"/>
              </w:rPr>
            </w:pPr>
            <w:r>
              <w:rPr>
                <w:rFonts w:hint="eastAsia" w:ascii="AdobeSongStd-Light" w:hAnsi="AdobeSongStd-Light" w:eastAsia="AdobeSongStd-Light"/>
                <w:sz w:val="24"/>
              </w:rPr>
              <w:t>数量</w:t>
            </w:r>
          </w:p>
        </w:tc>
        <w:tc>
          <w:tcPr>
            <w:tcW w:w="1575" w:type="dxa"/>
          </w:tcPr>
          <w:p>
            <w:pPr>
              <w:jc w:val="center"/>
              <w:rPr>
                <w:rFonts w:ascii="AdobeSongStd-Light" w:hAnsi="AdobeSongStd-Light" w:eastAsia="AdobeSongStd-Light"/>
                <w:sz w:val="24"/>
              </w:rPr>
            </w:pPr>
            <w:r>
              <w:rPr>
                <w:rFonts w:hint="eastAsia" w:ascii="AdobeSongStd-Light" w:hAnsi="AdobeSongStd-Light" w:eastAsia="AdobeSongStd-Light"/>
                <w:sz w:val="24"/>
              </w:rPr>
              <w:t>原值</w:t>
            </w:r>
          </w:p>
        </w:tc>
        <w:tc>
          <w:tcPr>
            <w:tcW w:w="1575" w:type="dxa"/>
          </w:tcPr>
          <w:p>
            <w:pPr>
              <w:jc w:val="center"/>
              <w:rPr>
                <w:rFonts w:ascii="AdobeSongStd-Light" w:hAnsi="AdobeSongStd-Light" w:eastAsia="AdobeSongStd-Light"/>
                <w:sz w:val="24"/>
              </w:rPr>
            </w:pPr>
            <w:r>
              <w:rPr>
                <w:rFonts w:hint="eastAsia" w:ascii="AdobeSongStd-Light" w:hAnsi="AdobeSongStd-Light" w:eastAsia="AdobeSongStd-Light"/>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9" w:type="dxa"/>
            <w:gridSpan w:val="6"/>
          </w:tcPr>
          <w:p>
            <w:pPr>
              <w:rPr>
                <w:rFonts w:ascii="AdobeSongStd-Light" w:hAnsi="AdobeSongStd-Light" w:eastAsia="AdobeSongStd-Light"/>
                <w:sz w:val="24"/>
              </w:rPr>
            </w:pPr>
            <w:r>
              <w:rPr>
                <w:rFonts w:ascii="AdobeSongStd-Light" w:hAnsi="AdobeSongStd-Light" w:eastAsia="AdobeSongStd-Light"/>
                <w:sz w:val="24"/>
              </w:rPr>
              <w:t xml:space="preserve">   </w:t>
            </w:r>
            <w:r>
              <w:rPr>
                <w:rFonts w:hint="eastAsia" w:ascii="AdobeSongStd-Light" w:hAnsi="AdobeSongStd-Light" w:eastAsia="AdobeSongStd-Light"/>
                <w:sz w:val="24"/>
              </w:rPr>
              <w:t>合计</w:t>
            </w: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c>
          <w:tcPr>
            <w:tcW w:w="1575" w:type="dxa"/>
          </w:tcPr>
          <w:p>
            <w:pPr>
              <w:jc w:val="center"/>
              <w:rPr>
                <w:rFonts w:ascii="AdobeSongStd-Light" w:hAnsi="AdobeSongStd-Light" w:eastAsia="AdobeSongStd-Ligh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4" w:type="dxa"/>
            <w:gridSpan w:val="3"/>
          </w:tcPr>
          <w:p>
            <w:pPr>
              <w:jc w:val="center"/>
              <w:rPr>
                <w:rFonts w:ascii="AdobeSongStd-Light" w:hAnsi="AdobeSongStd-Light" w:eastAsia="AdobeSongStd-Light"/>
                <w:sz w:val="24"/>
              </w:rPr>
            </w:pPr>
            <w:r>
              <w:rPr>
                <w:rFonts w:hint="eastAsia" w:ascii="AdobeSongStd-Light" w:hAnsi="AdobeSongStd-Light" w:eastAsia="AdobeSongStd-Light"/>
                <w:sz w:val="24"/>
              </w:rPr>
              <w:t>调出单位意见</w:t>
            </w:r>
          </w:p>
        </w:tc>
        <w:tc>
          <w:tcPr>
            <w:tcW w:w="4725" w:type="dxa"/>
            <w:gridSpan w:val="3"/>
          </w:tcPr>
          <w:p>
            <w:pPr>
              <w:jc w:val="center"/>
              <w:rPr>
                <w:rFonts w:ascii="AdobeSongStd-Light" w:hAnsi="AdobeSongStd-Light" w:eastAsia="AdobeSongStd-Light"/>
                <w:sz w:val="24"/>
              </w:rPr>
            </w:pPr>
            <w:r>
              <w:rPr>
                <w:rFonts w:hint="eastAsia" w:ascii="AdobeSongStd-Light" w:hAnsi="AdobeSongStd-Light" w:eastAsia="AdobeSongStd-Light"/>
                <w:sz w:val="24"/>
              </w:rPr>
              <w:t>调出单位主管部门意见</w:t>
            </w:r>
          </w:p>
        </w:tc>
        <w:tc>
          <w:tcPr>
            <w:tcW w:w="4725" w:type="dxa"/>
            <w:gridSpan w:val="3"/>
          </w:tcPr>
          <w:p>
            <w:pPr>
              <w:jc w:val="center"/>
              <w:rPr>
                <w:rFonts w:ascii="AdobeSongStd-Light" w:hAnsi="AdobeSongStd-Light" w:eastAsia="AdobeSongStd-Light"/>
                <w:sz w:val="24"/>
              </w:rPr>
            </w:pPr>
            <w:r>
              <w:rPr>
                <w:rFonts w:hint="eastAsia" w:ascii="AdobeSongStd-Light" w:hAnsi="AdobeSongStd-Light" w:eastAsia="AdobeSongStd-Light"/>
                <w:sz w:val="24"/>
              </w:rPr>
              <w:t>调出单位财政部门或国资部门意见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4724" w:type="dxa"/>
            <w:gridSpan w:val="3"/>
          </w:tcPr>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r>
              <w:rPr>
                <w:rFonts w:ascii="AdobeSongStd-Light" w:hAnsi="AdobeSongStd-Light" w:eastAsia="AdobeSongStd-Light"/>
                <w:sz w:val="24"/>
              </w:rPr>
              <w:t xml:space="preserve">                           </w:t>
            </w:r>
            <w:r>
              <w:rPr>
                <w:rFonts w:hint="eastAsia" w:ascii="AdobeSongStd-Light" w:hAnsi="AdobeSongStd-Light" w:eastAsia="AdobeSongStd-Light"/>
                <w:sz w:val="24"/>
              </w:rPr>
              <w:t>签字（公章）</w:t>
            </w:r>
          </w:p>
          <w:p>
            <w:pPr>
              <w:rPr>
                <w:rFonts w:ascii="AdobeSongStd-Light" w:hAnsi="AdobeSongStd-Light" w:eastAsia="AdobeSongStd-Light"/>
                <w:sz w:val="24"/>
              </w:rPr>
            </w:pPr>
            <w:r>
              <w:rPr>
                <w:rFonts w:ascii="AdobeSongStd-Light" w:hAnsi="AdobeSongStd-Light" w:eastAsia="AdobeSongStd-Light"/>
                <w:sz w:val="24"/>
              </w:rPr>
              <w:t xml:space="preserve">             </w:t>
            </w:r>
            <w:r>
              <w:rPr>
                <w:rFonts w:hint="eastAsia" w:ascii="AdobeSongStd-Light" w:hAnsi="AdobeSongStd-Light" w:eastAsia="AdobeSongStd-Light"/>
                <w:sz w:val="24"/>
              </w:rPr>
              <w:t>年</w:t>
            </w:r>
            <w:r>
              <w:rPr>
                <w:rFonts w:ascii="AdobeSongStd-Light" w:hAnsi="AdobeSongStd-Light" w:eastAsia="AdobeSongStd-Light"/>
                <w:sz w:val="24"/>
              </w:rPr>
              <w:t xml:space="preserve">    </w:t>
            </w:r>
            <w:r>
              <w:rPr>
                <w:rFonts w:hint="eastAsia" w:ascii="AdobeSongStd-Light" w:hAnsi="AdobeSongStd-Light" w:eastAsia="AdobeSongStd-Light"/>
                <w:sz w:val="24"/>
              </w:rPr>
              <w:t>月</w:t>
            </w:r>
            <w:r>
              <w:rPr>
                <w:rFonts w:ascii="AdobeSongStd-Light" w:hAnsi="AdobeSongStd-Light" w:eastAsia="AdobeSongStd-Light"/>
                <w:sz w:val="24"/>
              </w:rPr>
              <w:t xml:space="preserve">    </w:t>
            </w:r>
            <w:r>
              <w:rPr>
                <w:rFonts w:hint="eastAsia" w:ascii="AdobeSongStd-Light" w:hAnsi="AdobeSongStd-Light" w:eastAsia="AdobeSongStd-Light"/>
                <w:sz w:val="24"/>
              </w:rPr>
              <w:t>日</w:t>
            </w:r>
          </w:p>
        </w:tc>
        <w:tc>
          <w:tcPr>
            <w:tcW w:w="4725" w:type="dxa"/>
            <w:gridSpan w:val="3"/>
          </w:tcPr>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r>
              <w:rPr>
                <w:rFonts w:ascii="AdobeSongStd-Light" w:hAnsi="AdobeSongStd-Light" w:eastAsia="AdobeSongStd-Light"/>
                <w:sz w:val="24"/>
              </w:rPr>
              <w:t xml:space="preserve">                          </w:t>
            </w:r>
            <w:r>
              <w:rPr>
                <w:rFonts w:hint="eastAsia" w:ascii="AdobeSongStd-Light" w:hAnsi="AdobeSongStd-Light" w:eastAsia="AdobeSongStd-Light"/>
                <w:sz w:val="24"/>
              </w:rPr>
              <w:t>签字（公章）</w:t>
            </w:r>
          </w:p>
          <w:p>
            <w:pPr>
              <w:rPr>
                <w:rFonts w:ascii="AdobeSongStd-Light" w:hAnsi="AdobeSongStd-Light" w:eastAsia="AdobeSongStd-Light"/>
                <w:sz w:val="24"/>
              </w:rPr>
            </w:pPr>
            <w:r>
              <w:rPr>
                <w:rFonts w:ascii="AdobeSongStd-Light" w:hAnsi="AdobeSongStd-Light" w:eastAsia="AdobeSongStd-Light"/>
                <w:sz w:val="24"/>
              </w:rPr>
              <w:t xml:space="preserve">             </w:t>
            </w:r>
            <w:r>
              <w:rPr>
                <w:rFonts w:hint="eastAsia" w:ascii="AdobeSongStd-Light" w:hAnsi="AdobeSongStd-Light" w:eastAsia="AdobeSongStd-Light"/>
                <w:sz w:val="24"/>
              </w:rPr>
              <w:t>年</w:t>
            </w:r>
            <w:r>
              <w:rPr>
                <w:rFonts w:ascii="AdobeSongStd-Light" w:hAnsi="AdobeSongStd-Light" w:eastAsia="AdobeSongStd-Light"/>
                <w:sz w:val="24"/>
              </w:rPr>
              <w:t xml:space="preserve">    </w:t>
            </w:r>
            <w:r>
              <w:rPr>
                <w:rFonts w:hint="eastAsia" w:ascii="AdobeSongStd-Light" w:hAnsi="AdobeSongStd-Light" w:eastAsia="AdobeSongStd-Light"/>
                <w:sz w:val="24"/>
              </w:rPr>
              <w:t>月</w:t>
            </w:r>
            <w:r>
              <w:rPr>
                <w:rFonts w:ascii="AdobeSongStd-Light" w:hAnsi="AdobeSongStd-Light" w:eastAsia="AdobeSongStd-Light"/>
                <w:sz w:val="24"/>
              </w:rPr>
              <w:t xml:space="preserve">    </w:t>
            </w:r>
            <w:r>
              <w:rPr>
                <w:rFonts w:hint="eastAsia" w:ascii="AdobeSongStd-Light" w:hAnsi="AdobeSongStd-Light" w:eastAsia="AdobeSongStd-Light"/>
                <w:sz w:val="24"/>
              </w:rPr>
              <w:t>日</w:t>
            </w:r>
          </w:p>
        </w:tc>
        <w:tc>
          <w:tcPr>
            <w:tcW w:w="4725" w:type="dxa"/>
            <w:gridSpan w:val="3"/>
          </w:tcPr>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r>
              <w:rPr>
                <w:rFonts w:ascii="AdobeSongStd-Light" w:hAnsi="AdobeSongStd-Light" w:eastAsia="AdobeSongStd-Light"/>
                <w:sz w:val="24"/>
              </w:rPr>
              <w:t xml:space="preserve">                          </w:t>
            </w:r>
            <w:r>
              <w:rPr>
                <w:rFonts w:hint="eastAsia" w:ascii="AdobeSongStd-Light" w:hAnsi="AdobeSongStd-Light" w:eastAsia="AdobeSongStd-Light"/>
                <w:sz w:val="24"/>
              </w:rPr>
              <w:t>（公章）</w:t>
            </w:r>
          </w:p>
          <w:p>
            <w:pPr>
              <w:rPr>
                <w:rFonts w:ascii="AdobeSongStd-Light" w:hAnsi="AdobeSongStd-Light" w:eastAsia="AdobeSongStd-Light"/>
                <w:sz w:val="24"/>
              </w:rPr>
            </w:pPr>
            <w:r>
              <w:rPr>
                <w:rFonts w:ascii="AdobeSongStd-Light" w:hAnsi="AdobeSongStd-Light" w:eastAsia="AdobeSongStd-Light"/>
                <w:sz w:val="24"/>
              </w:rPr>
              <w:t xml:space="preserve">             </w:t>
            </w:r>
            <w:r>
              <w:rPr>
                <w:rFonts w:hint="eastAsia" w:ascii="AdobeSongStd-Light" w:hAnsi="AdobeSongStd-Light" w:eastAsia="AdobeSongStd-Light"/>
                <w:sz w:val="24"/>
              </w:rPr>
              <w:t>年</w:t>
            </w:r>
            <w:r>
              <w:rPr>
                <w:rFonts w:ascii="AdobeSongStd-Light" w:hAnsi="AdobeSongStd-Light" w:eastAsia="AdobeSongStd-Light"/>
                <w:sz w:val="24"/>
              </w:rPr>
              <w:t xml:space="preserve">    </w:t>
            </w:r>
            <w:r>
              <w:rPr>
                <w:rFonts w:hint="eastAsia" w:ascii="AdobeSongStd-Light" w:hAnsi="AdobeSongStd-Light" w:eastAsia="AdobeSongStd-Light"/>
                <w:sz w:val="24"/>
              </w:rPr>
              <w:t>月</w:t>
            </w:r>
            <w:r>
              <w:rPr>
                <w:rFonts w:ascii="AdobeSongStd-Light" w:hAnsi="AdobeSongStd-Light" w:eastAsia="AdobeSongStd-Light"/>
                <w:sz w:val="24"/>
              </w:rPr>
              <w:t xml:space="preserve">    </w:t>
            </w:r>
            <w:r>
              <w:rPr>
                <w:rFonts w:hint="eastAsia" w:ascii="AdobeSongStd-Light" w:hAnsi="AdobeSongStd-Light" w:eastAsia="AdobeSongStd-Light"/>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724" w:type="dxa"/>
            <w:gridSpan w:val="3"/>
          </w:tcPr>
          <w:p>
            <w:pPr>
              <w:jc w:val="center"/>
              <w:rPr>
                <w:rFonts w:ascii="AdobeSongStd-Light" w:hAnsi="AdobeSongStd-Light" w:eastAsia="AdobeSongStd-Light"/>
                <w:sz w:val="24"/>
              </w:rPr>
            </w:pPr>
            <w:r>
              <w:rPr>
                <w:rFonts w:hint="eastAsia" w:ascii="AdobeSongStd-Light" w:hAnsi="AdobeSongStd-Light" w:eastAsia="AdobeSongStd-Light"/>
                <w:sz w:val="24"/>
              </w:rPr>
              <w:t>调入单位意见</w:t>
            </w:r>
          </w:p>
        </w:tc>
        <w:tc>
          <w:tcPr>
            <w:tcW w:w="4725" w:type="dxa"/>
            <w:gridSpan w:val="3"/>
          </w:tcPr>
          <w:p>
            <w:pPr>
              <w:jc w:val="center"/>
              <w:rPr>
                <w:rFonts w:ascii="AdobeSongStd-Light" w:hAnsi="AdobeSongStd-Light" w:eastAsia="AdobeSongStd-Light"/>
                <w:sz w:val="24"/>
              </w:rPr>
            </w:pPr>
            <w:r>
              <w:rPr>
                <w:rFonts w:hint="eastAsia" w:ascii="AdobeSongStd-Light" w:hAnsi="AdobeSongStd-Light" w:eastAsia="AdobeSongStd-Light"/>
                <w:sz w:val="24"/>
              </w:rPr>
              <w:t>调入单位主管部门意见</w:t>
            </w:r>
          </w:p>
        </w:tc>
        <w:tc>
          <w:tcPr>
            <w:tcW w:w="4725" w:type="dxa"/>
            <w:gridSpan w:val="3"/>
          </w:tcPr>
          <w:p>
            <w:pPr>
              <w:jc w:val="center"/>
              <w:rPr>
                <w:rFonts w:ascii="AdobeSongStd-Light" w:hAnsi="AdobeSongStd-Light" w:eastAsia="AdobeSongStd-Light"/>
                <w:sz w:val="24"/>
              </w:rPr>
            </w:pPr>
            <w:r>
              <w:rPr>
                <w:rFonts w:hint="eastAsia" w:ascii="AdobeSongStd-Light" w:hAnsi="AdobeSongStd-Light" w:eastAsia="AdobeSongStd-Light"/>
                <w:sz w:val="24"/>
              </w:rPr>
              <w:t>调入单位财政部门或国资部门意见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4724" w:type="dxa"/>
            <w:gridSpan w:val="3"/>
          </w:tcPr>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r>
              <w:rPr>
                <w:rFonts w:ascii="AdobeSongStd-Light" w:hAnsi="AdobeSongStd-Light" w:eastAsia="AdobeSongStd-Light"/>
                <w:sz w:val="24"/>
              </w:rPr>
              <w:t xml:space="preserve">                          </w:t>
            </w:r>
            <w:r>
              <w:rPr>
                <w:rFonts w:hint="eastAsia" w:ascii="AdobeSongStd-Light" w:hAnsi="AdobeSongStd-Light" w:eastAsia="AdobeSongStd-Light"/>
                <w:sz w:val="24"/>
              </w:rPr>
              <w:t>签字（公章）</w:t>
            </w:r>
          </w:p>
          <w:p>
            <w:pPr>
              <w:rPr>
                <w:rFonts w:ascii="AdobeSongStd-Light" w:hAnsi="AdobeSongStd-Light" w:eastAsia="AdobeSongStd-Light"/>
                <w:sz w:val="24"/>
              </w:rPr>
            </w:pPr>
            <w:r>
              <w:rPr>
                <w:rFonts w:ascii="AdobeSongStd-Light" w:hAnsi="AdobeSongStd-Light" w:eastAsia="AdobeSongStd-Light"/>
                <w:sz w:val="24"/>
              </w:rPr>
              <w:t xml:space="preserve">             </w:t>
            </w:r>
            <w:r>
              <w:rPr>
                <w:rFonts w:hint="eastAsia" w:ascii="AdobeSongStd-Light" w:hAnsi="AdobeSongStd-Light" w:eastAsia="AdobeSongStd-Light"/>
                <w:sz w:val="24"/>
              </w:rPr>
              <w:t>年</w:t>
            </w:r>
            <w:r>
              <w:rPr>
                <w:rFonts w:ascii="AdobeSongStd-Light" w:hAnsi="AdobeSongStd-Light" w:eastAsia="AdobeSongStd-Light"/>
                <w:sz w:val="24"/>
              </w:rPr>
              <w:t xml:space="preserve">    </w:t>
            </w:r>
            <w:r>
              <w:rPr>
                <w:rFonts w:hint="eastAsia" w:ascii="AdobeSongStd-Light" w:hAnsi="AdobeSongStd-Light" w:eastAsia="AdobeSongStd-Light"/>
                <w:sz w:val="24"/>
              </w:rPr>
              <w:t>月</w:t>
            </w:r>
            <w:r>
              <w:rPr>
                <w:rFonts w:ascii="AdobeSongStd-Light" w:hAnsi="AdobeSongStd-Light" w:eastAsia="AdobeSongStd-Light"/>
                <w:sz w:val="24"/>
              </w:rPr>
              <w:t xml:space="preserve">    </w:t>
            </w:r>
            <w:r>
              <w:rPr>
                <w:rFonts w:hint="eastAsia" w:ascii="AdobeSongStd-Light" w:hAnsi="AdobeSongStd-Light" w:eastAsia="AdobeSongStd-Light"/>
                <w:sz w:val="24"/>
              </w:rPr>
              <w:t>日</w:t>
            </w:r>
          </w:p>
        </w:tc>
        <w:tc>
          <w:tcPr>
            <w:tcW w:w="4725" w:type="dxa"/>
            <w:gridSpan w:val="3"/>
          </w:tcPr>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r>
              <w:rPr>
                <w:rFonts w:ascii="AdobeSongStd-Light" w:hAnsi="AdobeSongStd-Light" w:eastAsia="AdobeSongStd-Light"/>
                <w:sz w:val="24"/>
              </w:rPr>
              <w:t xml:space="preserve">                           </w:t>
            </w:r>
            <w:r>
              <w:rPr>
                <w:rFonts w:hint="eastAsia" w:ascii="AdobeSongStd-Light" w:hAnsi="AdobeSongStd-Light" w:eastAsia="AdobeSongStd-Light"/>
                <w:sz w:val="24"/>
              </w:rPr>
              <w:t>签字（公章）</w:t>
            </w:r>
          </w:p>
          <w:p>
            <w:pPr>
              <w:rPr>
                <w:rFonts w:ascii="AdobeSongStd-Light" w:hAnsi="AdobeSongStd-Light" w:eastAsia="AdobeSongStd-Light"/>
                <w:sz w:val="24"/>
              </w:rPr>
            </w:pPr>
            <w:r>
              <w:rPr>
                <w:rFonts w:ascii="AdobeSongStd-Light" w:hAnsi="AdobeSongStd-Light" w:eastAsia="AdobeSongStd-Light"/>
                <w:sz w:val="24"/>
              </w:rPr>
              <w:t xml:space="preserve">             </w:t>
            </w:r>
            <w:r>
              <w:rPr>
                <w:rFonts w:hint="eastAsia" w:ascii="AdobeSongStd-Light" w:hAnsi="AdobeSongStd-Light" w:eastAsia="AdobeSongStd-Light"/>
                <w:sz w:val="24"/>
              </w:rPr>
              <w:t>年</w:t>
            </w:r>
            <w:r>
              <w:rPr>
                <w:rFonts w:ascii="AdobeSongStd-Light" w:hAnsi="AdobeSongStd-Light" w:eastAsia="AdobeSongStd-Light"/>
                <w:sz w:val="24"/>
              </w:rPr>
              <w:t xml:space="preserve">    </w:t>
            </w:r>
            <w:r>
              <w:rPr>
                <w:rFonts w:hint="eastAsia" w:ascii="AdobeSongStd-Light" w:hAnsi="AdobeSongStd-Light" w:eastAsia="AdobeSongStd-Light"/>
                <w:sz w:val="24"/>
              </w:rPr>
              <w:t>月</w:t>
            </w:r>
            <w:r>
              <w:rPr>
                <w:rFonts w:ascii="AdobeSongStd-Light" w:hAnsi="AdobeSongStd-Light" w:eastAsia="AdobeSongStd-Light"/>
                <w:sz w:val="24"/>
              </w:rPr>
              <w:t xml:space="preserve">    </w:t>
            </w:r>
            <w:r>
              <w:rPr>
                <w:rFonts w:hint="eastAsia" w:ascii="AdobeSongStd-Light" w:hAnsi="AdobeSongStd-Light" w:eastAsia="AdobeSongStd-Light"/>
                <w:sz w:val="24"/>
              </w:rPr>
              <w:t>日</w:t>
            </w:r>
          </w:p>
        </w:tc>
        <w:tc>
          <w:tcPr>
            <w:tcW w:w="4725" w:type="dxa"/>
            <w:gridSpan w:val="3"/>
          </w:tcPr>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p>
          <w:p>
            <w:pPr>
              <w:rPr>
                <w:rFonts w:ascii="AdobeSongStd-Light" w:hAnsi="AdobeSongStd-Light" w:eastAsia="AdobeSongStd-Light"/>
                <w:sz w:val="24"/>
              </w:rPr>
            </w:pPr>
            <w:r>
              <w:rPr>
                <w:rFonts w:ascii="AdobeSongStd-Light" w:hAnsi="AdobeSongStd-Light" w:eastAsia="AdobeSongStd-Light"/>
                <w:sz w:val="24"/>
              </w:rPr>
              <w:t xml:space="preserve">                          </w:t>
            </w:r>
            <w:r>
              <w:rPr>
                <w:rFonts w:hint="eastAsia" w:ascii="AdobeSongStd-Light" w:hAnsi="AdobeSongStd-Light" w:eastAsia="AdobeSongStd-Light"/>
                <w:sz w:val="24"/>
              </w:rPr>
              <w:t>（公章）</w:t>
            </w:r>
          </w:p>
          <w:p>
            <w:pPr>
              <w:rPr>
                <w:rFonts w:ascii="AdobeSongStd-Light" w:hAnsi="AdobeSongStd-Light" w:eastAsia="AdobeSongStd-Light"/>
                <w:sz w:val="24"/>
              </w:rPr>
            </w:pPr>
            <w:r>
              <w:rPr>
                <w:rFonts w:ascii="AdobeSongStd-Light" w:hAnsi="AdobeSongStd-Light" w:eastAsia="AdobeSongStd-Light"/>
                <w:sz w:val="24"/>
              </w:rPr>
              <w:t xml:space="preserve">             </w:t>
            </w:r>
            <w:r>
              <w:rPr>
                <w:rFonts w:hint="eastAsia" w:ascii="AdobeSongStd-Light" w:hAnsi="AdobeSongStd-Light" w:eastAsia="AdobeSongStd-Light"/>
                <w:sz w:val="24"/>
              </w:rPr>
              <w:t>年</w:t>
            </w:r>
            <w:r>
              <w:rPr>
                <w:rFonts w:ascii="AdobeSongStd-Light" w:hAnsi="AdobeSongStd-Light" w:eastAsia="AdobeSongStd-Light"/>
                <w:sz w:val="24"/>
              </w:rPr>
              <w:t xml:space="preserve">    </w:t>
            </w:r>
            <w:r>
              <w:rPr>
                <w:rFonts w:hint="eastAsia" w:ascii="AdobeSongStd-Light" w:hAnsi="AdobeSongStd-Light" w:eastAsia="AdobeSongStd-Light"/>
                <w:sz w:val="24"/>
              </w:rPr>
              <w:t>月</w:t>
            </w:r>
            <w:r>
              <w:rPr>
                <w:rFonts w:ascii="AdobeSongStd-Light" w:hAnsi="AdobeSongStd-Light" w:eastAsia="AdobeSongStd-Light"/>
                <w:sz w:val="24"/>
              </w:rPr>
              <w:t xml:space="preserve">    </w:t>
            </w:r>
            <w:r>
              <w:rPr>
                <w:rFonts w:hint="eastAsia" w:ascii="AdobeSongStd-Light" w:hAnsi="AdobeSongStd-Light" w:eastAsia="AdobeSongStd-Light"/>
                <w:sz w:val="24"/>
              </w:rPr>
              <w:t>日</w:t>
            </w:r>
          </w:p>
        </w:tc>
      </w:tr>
    </w:tbl>
    <w:p>
      <w:pPr>
        <w:rPr>
          <w:rFonts w:ascii="AdobeSongStd-Light" w:hAnsi="AdobeSongStd-Light" w:eastAsia="AdobeSongStd-Light"/>
          <w:sz w:val="24"/>
        </w:rPr>
      </w:pPr>
      <w:r>
        <w:rPr>
          <w:rFonts w:ascii="AdobeSongStd-Light" w:hAnsi="AdobeSongStd-Light" w:eastAsia="AdobeSongStd-Light"/>
          <w:sz w:val="24"/>
        </w:rPr>
        <w:t xml:space="preserve"> </w:t>
      </w:r>
      <w:r>
        <w:rPr>
          <w:rFonts w:hint="eastAsia" w:ascii="AdobeSongStd-Light" w:hAnsi="AdobeSongStd-Light" w:eastAsia="AdobeSongStd-Light"/>
          <w:sz w:val="24"/>
        </w:rPr>
        <w:t>财务人员（签字）：</w:t>
      </w:r>
      <w:r>
        <w:rPr>
          <w:rFonts w:ascii="AdobeSongStd-Light" w:hAnsi="AdobeSongStd-Light" w:eastAsia="AdobeSongStd-Light"/>
          <w:sz w:val="24"/>
        </w:rPr>
        <w:t xml:space="preserve">                                                  </w:t>
      </w:r>
      <w:r>
        <w:rPr>
          <w:rFonts w:hint="eastAsia" w:ascii="AdobeSongStd-Light" w:hAnsi="AdobeSongStd-Light" w:eastAsia="AdobeSongStd-Light"/>
          <w:sz w:val="24"/>
        </w:rPr>
        <w:t>资产管理员（签字）：</w:t>
      </w:r>
    </w:p>
    <w:p>
      <w:pPr>
        <w:rPr>
          <w:rFonts w:ascii="AdobeSongStd-Light" w:hAnsi="AdobeSongStd-Light" w:eastAsia="AdobeSongStd-Light"/>
          <w:sz w:val="24"/>
        </w:rPr>
      </w:pPr>
      <w:r>
        <w:rPr>
          <w:rFonts w:hint="eastAsia" w:ascii="AdobeSongStd-Light" w:hAnsi="AdobeSongStd-Light" w:eastAsia="AdobeSongStd-Light"/>
          <w:sz w:val="24"/>
        </w:rPr>
        <w:t>说明：本表一式三份，申报单位、主管部门、财政部门各一份。</w:t>
      </w:r>
      <w:r>
        <w:rPr>
          <w:rFonts w:ascii="AdobeSongStd-Light" w:hAnsi="AdobeSongStd-Light" w:eastAsia="AdobeSongStd-Light"/>
          <w:sz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AdobeSongStd-Light">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15" w:rightChars="150"/>
      <w:rPr>
        <w:rStyle w:val="5"/>
        <w:sz w:val="28"/>
      </w:rPr>
    </w:pPr>
    <w:r>
      <w:rPr>
        <w:rStyle w:val="5"/>
        <w:sz w:val="28"/>
      </w:rPr>
      <w:t xml:space="preserve">— </w:t>
    </w:r>
    <w:r>
      <w:rPr>
        <w:rStyle w:val="5"/>
        <w:rFonts w:ascii="宋体" w:hAnsi="宋体"/>
        <w:sz w:val="28"/>
      </w:rPr>
      <w:fldChar w:fldCharType="begin"/>
    </w:r>
    <w:r>
      <w:rPr>
        <w:rStyle w:val="5"/>
        <w:rFonts w:ascii="宋体" w:hAnsi="宋体"/>
        <w:sz w:val="28"/>
      </w:rPr>
      <w:instrText xml:space="preserve">PAGE  </w:instrText>
    </w:r>
    <w:r>
      <w:rPr>
        <w:rStyle w:val="5"/>
        <w:rFonts w:ascii="宋体" w:hAnsi="宋体"/>
        <w:sz w:val="28"/>
      </w:rPr>
      <w:fldChar w:fldCharType="separate"/>
    </w:r>
    <w:r>
      <w:rPr>
        <w:rStyle w:val="5"/>
        <w:rFonts w:ascii="宋体" w:hAnsi="宋体"/>
        <w:sz w:val="28"/>
      </w:rPr>
      <w:t>11</w:t>
    </w:r>
    <w:r>
      <w:rPr>
        <w:rStyle w:val="5"/>
        <w:rFonts w:ascii="宋体" w:hAnsi="宋体"/>
        <w:sz w:val="28"/>
      </w:rPr>
      <w:fldChar w:fldCharType="end"/>
    </w:r>
    <w:r>
      <w:rPr>
        <w:rStyle w:val="5"/>
        <w:rFonts w:ascii="宋体" w:hAnsi="宋体"/>
        <w:sz w:val="28"/>
      </w:rPr>
      <w:t xml:space="preserve"> </w:t>
    </w:r>
    <w:r>
      <w:rPr>
        <w:rStyle w:val="5"/>
        <w:sz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A6023"/>
    <w:rsid w:val="00136620"/>
    <w:rsid w:val="00274272"/>
    <w:rsid w:val="004B1AE5"/>
    <w:rsid w:val="004B48A9"/>
    <w:rsid w:val="005F4DAD"/>
    <w:rsid w:val="006B117F"/>
    <w:rsid w:val="007870E0"/>
    <w:rsid w:val="00844DCC"/>
    <w:rsid w:val="00A02D98"/>
    <w:rsid w:val="00A409D7"/>
    <w:rsid w:val="00CE2DFE"/>
    <w:rsid w:val="01C54B55"/>
    <w:rsid w:val="06153169"/>
    <w:rsid w:val="0BD36CF9"/>
    <w:rsid w:val="0C547201"/>
    <w:rsid w:val="11477335"/>
    <w:rsid w:val="11DD1A47"/>
    <w:rsid w:val="15202377"/>
    <w:rsid w:val="213C08D8"/>
    <w:rsid w:val="25340F93"/>
    <w:rsid w:val="28B906C0"/>
    <w:rsid w:val="2E422F06"/>
    <w:rsid w:val="313F0CFF"/>
    <w:rsid w:val="31EA6023"/>
    <w:rsid w:val="38D155B2"/>
    <w:rsid w:val="3CD835BA"/>
    <w:rsid w:val="42A45282"/>
    <w:rsid w:val="49C07F57"/>
    <w:rsid w:val="6514025E"/>
    <w:rsid w:val="7124681D"/>
    <w:rsid w:val="72401225"/>
    <w:rsid w:val="750E4BD2"/>
    <w:rsid w:val="79A35D2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20"/>
    </w:rPr>
  </w:style>
  <w:style w:type="character" w:styleId="5">
    <w:name w:val="page number"/>
    <w:basedOn w:val="4"/>
    <w:uiPriority w:val="99"/>
    <w:rPr>
      <w:rFonts w:cs="Times New Roman"/>
    </w:rPr>
  </w:style>
  <w:style w:type="character" w:customStyle="1" w:styleId="6">
    <w:name w:val="Footer Char"/>
    <w:basedOn w:val="4"/>
    <w:link w:val="2"/>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1122</Words>
  <Characters>6399</Characters>
  <Lines>0</Lines>
  <Paragraphs>0</Paragraphs>
  <TotalTime>20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2016-03-04T07:36:00Z</dcterms:created>
  <dc:creator>Administrator</dc:creator>
  <cp:lastModifiedBy>Administrator</cp:lastModifiedBy>
  <cp:lastPrinted>2016-08-10T03:08:00Z</cp:lastPrinted>
  <dcterms:modified xsi:type="dcterms:W3CDTF">2022-02-14T02:33:20Z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49CF25D00AD346EC8E384C1D3186F909</vt:lpwstr>
  </property>
</Properties>
</file>