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jc w:val="center"/>
        <w:rPr>
          <w:rFonts w:hint="eastAsia"/>
          <w:sz w:val="36"/>
          <w:szCs w:val="36"/>
        </w:rPr>
      </w:pPr>
      <w:r>
        <w:rPr>
          <w:rStyle w:val="27"/>
          <w:rFonts w:hint="eastAsia" w:ascii="黑体" w:hAnsi="宋体" w:eastAsia="黑体"/>
          <w:sz w:val="36"/>
          <w:szCs w:val="36"/>
        </w:rPr>
        <w:t>温州浙南科技城管理委员会</w:t>
      </w:r>
      <w:r>
        <w:rPr>
          <w:rStyle w:val="27"/>
          <w:rFonts w:hint="eastAsia" w:ascii="黑体" w:hAnsi="黑体" w:eastAsia="黑体"/>
          <w:sz w:val="36"/>
          <w:szCs w:val="36"/>
        </w:rPr>
        <w:t>2020年度部门决算</w:t>
      </w:r>
    </w:p>
    <w:p>
      <w:pPr>
        <w:pStyle w:val="13"/>
        <w:jc w:val="center"/>
        <w:rPr>
          <w:rFonts w:hint="eastAsia"/>
        </w:rPr>
      </w:pPr>
      <w:r>
        <w:rPr>
          <w:rStyle w:val="27"/>
          <w:rFonts w:hint="eastAsia" w:ascii="等线" w:hAnsi="等线" w:eastAsia="等线"/>
          <w:sz w:val="22"/>
          <w:szCs w:val="22"/>
        </w:rPr>
        <w:t>目录</w:t>
      </w:r>
    </w:p>
    <w:p>
      <w:pPr>
        <w:spacing w:line="600" w:lineRule="atLeast"/>
        <w:ind w:firstLine="640"/>
        <w:jc w:val="both"/>
        <w:rPr>
          <w:rFonts w:hint="eastAsia"/>
        </w:rPr>
      </w:pPr>
      <w:r>
        <w:rPr>
          <w:rStyle w:val="27"/>
          <w:rFonts w:hint="eastAsia" w:ascii="等线" w:hAnsi="等线" w:eastAsia="等线" w:cs="Arial"/>
          <w:sz w:val="22"/>
          <w:szCs w:val="22"/>
        </w:rPr>
        <w:t>一、概况........................................................................................................( )</w:t>
      </w:r>
    </w:p>
    <w:p>
      <w:pPr>
        <w:spacing w:line="600" w:lineRule="atLeast"/>
        <w:ind w:firstLine="640"/>
        <w:jc w:val="both"/>
        <w:rPr>
          <w:rFonts w:hint="eastAsia"/>
        </w:rPr>
      </w:pPr>
      <w:r>
        <w:rPr>
          <w:rStyle w:val="27"/>
          <w:rFonts w:hint="eastAsia" w:ascii="等线" w:hAnsi="等线" w:eastAsia="等线" w:cs="Arial"/>
          <w:sz w:val="22"/>
          <w:szCs w:val="22"/>
        </w:rPr>
        <w:t>（一）部门职责.............................................................................................( )</w:t>
      </w:r>
    </w:p>
    <w:p>
      <w:pPr>
        <w:spacing w:line="600" w:lineRule="atLeast"/>
        <w:ind w:firstLine="640"/>
        <w:jc w:val="both"/>
        <w:rPr>
          <w:rFonts w:hint="eastAsia"/>
        </w:rPr>
      </w:pPr>
      <w:r>
        <w:rPr>
          <w:rStyle w:val="27"/>
          <w:rFonts w:hint="eastAsia" w:ascii="等线" w:hAnsi="等线" w:eastAsia="等线" w:cs="Arial"/>
          <w:sz w:val="22"/>
          <w:szCs w:val="22"/>
        </w:rPr>
        <w:t xml:space="preserve">（二）机构设置.............................................................................................( ) </w:t>
      </w:r>
    </w:p>
    <w:p>
      <w:pPr>
        <w:spacing w:line="600" w:lineRule="atLeast"/>
        <w:ind w:firstLine="640"/>
        <w:jc w:val="both"/>
        <w:rPr>
          <w:rFonts w:hint="eastAsia"/>
        </w:rPr>
      </w:pPr>
      <w:r>
        <w:rPr>
          <w:rStyle w:val="27"/>
          <w:rFonts w:hint="eastAsia" w:ascii="等线" w:hAnsi="等线" w:eastAsia="等线" w:cs="Arial"/>
          <w:sz w:val="22"/>
          <w:szCs w:val="22"/>
        </w:rPr>
        <w:t>二、2020年度部门决算公开表......................................................................( )</w:t>
      </w:r>
    </w:p>
    <w:p>
      <w:pPr>
        <w:spacing w:line="600" w:lineRule="atLeast"/>
        <w:ind w:firstLine="640"/>
        <w:jc w:val="both"/>
        <w:rPr>
          <w:rFonts w:hint="eastAsia"/>
        </w:rPr>
      </w:pPr>
      <w:r>
        <w:rPr>
          <w:rStyle w:val="27"/>
          <w:rFonts w:hint="eastAsia" w:ascii="等线" w:hAnsi="等线" w:eastAsia="等线" w:cs="Arial"/>
          <w:sz w:val="22"/>
          <w:szCs w:val="22"/>
        </w:rPr>
        <w:t xml:space="preserve">三、2020年度部门决算情况说明.................................................................( ) </w:t>
      </w:r>
    </w:p>
    <w:p>
      <w:pPr>
        <w:spacing w:line="600" w:lineRule="atLeast"/>
        <w:ind w:firstLine="640"/>
        <w:jc w:val="both"/>
        <w:rPr>
          <w:rFonts w:hint="eastAsia"/>
        </w:rPr>
      </w:pPr>
      <w:r>
        <w:rPr>
          <w:rStyle w:val="27"/>
          <w:rFonts w:hint="eastAsia" w:ascii="等线" w:hAnsi="等线" w:eastAsia="等线" w:cs="Arial"/>
          <w:sz w:val="22"/>
          <w:szCs w:val="22"/>
        </w:rPr>
        <w:t>（一）收入支出决算总体情况说明.................................................................( )</w:t>
      </w:r>
    </w:p>
    <w:p>
      <w:pPr>
        <w:spacing w:line="600" w:lineRule="atLeast"/>
        <w:ind w:firstLine="640"/>
        <w:jc w:val="both"/>
        <w:rPr>
          <w:rFonts w:hint="eastAsia"/>
        </w:rPr>
      </w:pPr>
      <w:r>
        <w:rPr>
          <w:rStyle w:val="27"/>
          <w:rFonts w:hint="eastAsia" w:ascii="等线" w:hAnsi="等线" w:eastAsia="等线" w:cs="Arial"/>
          <w:sz w:val="22"/>
          <w:szCs w:val="22"/>
        </w:rPr>
        <w:t>（二）收入决算情况说明...............................................................................( )</w:t>
      </w:r>
    </w:p>
    <w:p>
      <w:pPr>
        <w:spacing w:line="600" w:lineRule="atLeast"/>
        <w:ind w:firstLine="640"/>
        <w:jc w:val="both"/>
        <w:rPr>
          <w:rFonts w:hint="eastAsia"/>
        </w:rPr>
      </w:pPr>
      <w:r>
        <w:rPr>
          <w:rStyle w:val="27"/>
          <w:rFonts w:hint="eastAsia" w:ascii="等线" w:hAnsi="等线" w:eastAsia="等线" w:cs="Arial"/>
          <w:sz w:val="22"/>
          <w:szCs w:val="22"/>
        </w:rPr>
        <w:t>（三）支出决算情况说明...............................................................................( )</w:t>
      </w:r>
    </w:p>
    <w:p>
      <w:pPr>
        <w:spacing w:line="600" w:lineRule="atLeast"/>
        <w:ind w:firstLine="640"/>
        <w:jc w:val="both"/>
        <w:rPr>
          <w:rFonts w:hint="eastAsia"/>
        </w:rPr>
      </w:pPr>
      <w:r>
        <w:rPr>
          <w:rStyle w:val="27"/>
          <w:rFonts w:hint="eastAsia" w:ascii="等线" w:hAnsi="等线" w:eastAsia="等线" w:cs="Arial"/>
          <w:sz w:val="22"/>
          <w:szCs w:val="22"/>
        </w:rPr>
        <w:t>（四）财政拨款收入支出决算总体情况说明....................................................( )</w:t>
      </w:r>
    </w:p>
    <w:p>
      <w:pPr>
        <w:spacing w:line="600" w:lineRule="atLeast"/>
        <w:ind w:firstLine="640"/>
        <w:jc w:val="both"/>
        <w:rPr>
          <w:rFonts w:hint="eastAsia"/>
        </w:rPr>
      </w:pPr>
      <w:r>
        <w:rPr>
          <w:rStyle w:val="27"/>
          <w:rFonts w:hint="eastAsia" w:ascii="等线" w:hAnsi="等线" w:eastAsia="等线" w:cs="Arial"/>
          <w:sz w:val="22"/>
          <w:szCs w:val="22"/>
        </w:rPr>
        <w:t>（五）一般公共预算财政拨款支出决算情况说明.............................................( )</w:t>
      </w:r>
    </w:p>
    <w:p>
      <w:pPr>
        <w:spacing w:line="600" w:lineRule="atLeast"/>
        <w:ind w:firstLine="640"/>
        <w:jc w:val="both"/>
        <w:rPr>
          <w:rFonts w:hint="eastAsia"/>
        </w:rPr>
      </w:pPr>
      <w:r>
        <w:rPr>
          <w:rStyle w:val="27"/>
          <w:rFonts w:hint="eastAsia" w:ascii="等线" w:hAnsi="等线" w:eastAsia="等线" w:cs="Arial"/>
          <w:sz w:val="22"/>
          <w:szCs w:val="22"/>
        </w:rPr>
        <w:t>（六）一般公共预算财政拨款基本支出决算情况说明......................................( )</w:t>
      </w:r>
    </w:p>
    <w:p>
      <w:pPr>
        <w:spacing w:line="600" w:lineRule="atLeast"/>
        <w:ind w:firstLine="640"/>
        <w:jc w:val="both"/>
        <w:rPr>
          <w:rFonts w:hint="eastAsia"/>
        </w:rPr>
      </w:pPr>
      <w:r>
        <w:rPr>
          <w:rStyle w:val="27"/>
          <w:rFonts w:hint="eastAsia" w:ascii="等线" w:hAnsi="等线" w:eastAsia="等线" w:cs="Arial"/>
          <w:sz w:val="22"/>
          <w:szCs w:val="22"/>
        </w:rPr>
        <w:t>（七）政府性基金预算财政拨款支出决算总体情况说明...................................( )</w:t>
      </w:r>
    </w:p>
    <w:p>
      <w:pPr>
        <w:spacing w:line="600" w:lineRule="atLeast"/>
        <w:ind w:firstLine="640"/>
        <w:jc w:val="both"/>
        <w:rPr>
          <w:rFonts w:hint="eastAsia"/>
        </w:rPr>
      </w:pPr>
      <w:r>
        <w:rPr>
          <w:rStyle w:val="27"/>
          <w:rFonts w:hint="eastAsia" w:ascii="等线" w:hAnsi="等线" w:eastAsia="等线" w:cs="Arial"/>
          <w:sz w:val="22"/>
          <w:szCs w:val="22"/>
        </w:rPr>
        <w:t>（八）国有资本经营预算财政拨款支出决算总体情况说明..............................( )</w:t>
      </w:r>
    </w:p>
    <w:p>
      <w:pPr>
        <w:spacing w:line="600" w:lineRule="atLeast"/>
        <w:ind w:firstLine="640"/>
        <w:jc w:val="both"/>
        <w:rPr>
          <w:rFonts w:hint="eastAsia"/>
        </w:rPr>
      </w:pPr>
      <w:r>
        <w:rPr>
          <w:rStyle w:val="27"/>
          <w:rFonts w:hint="eastAsia" w:ascii="等线" w:hAnsi="等线" w:eastAsia="等线" w:cs="Arial"/>
          <w:sz w:val="22"/>
          <w:szCs w:val="22"/>
        </w:rPr>
        <w:t>（九）一般公共预算财政拨款“三公”经费支出决算情况说明........................( )</w:t>
      </w:r>
    </w:p>
    <w:p>
      <w:pPr>
        <w:spacing w:line="600" w:lineRule="atLeast"/>
        <w:ind w:firstLine="640"/>
        <w:jc w:val="both"/>
        <w:rPr>
          <w:rFonts w:hint="eastAsia"/>
        </w:rPr>
      </w:pPr>
      <w:r>
        <w:rPr>
          <w:rStyle w:val="27"/>
          <w:rFonts w:hint="eastAsia" w:ascii="等线" w:hAnsi="等线" w:eastAsia="等线" w:cs="Arial"/>
          <w:sz w:val="22"/>
          <w:szCs w:val="22"/>
        </w:rPr>
        <w:t>（十）机关运行经费支出说明.........................................................................( )</w:t>
      </w:r>
    </w:p>
    <w:p>
      <w:pPr>
        <w:spacing w:line="600" w:lineRule="atLeast"/>
        <w:ind w:firstLine="640"/>
        <w:jc w:val="both"/>
        <w:rPr>
          <w:rFonts w:hint="eastAsia"/>
        </w:rPr>
      </w:pPr>
      <w:r>
        <w:rPr>
          <w:rStyle w:val="27"/>
          <w:rFonts w:hint="eastAsia" w:ascii="等线" w:hAnsi="等线" w:eastAsia="等线" w:cs="Arial"/>
          <w:sz w:val="22"/>
          <w:szCs w:val="22"/>
        </w:rPr>
        <w:t>（十一）政府采购支出说明............................................................................( )</w:t>
      </w:r>
    </w:p>
    <w:p>
      <w:pPr>
        <w:spacing w:line="600" w:lineRule="atLeast"/>
        <w:ind w:firstLine="640"/>
        <w:jc w:val="both"/>
        <w:rPr>
          <w:rFonts w:hint="eastAsia"/>
        </w:rPr>
      </w:pPr>
      <w:r>
        <w:rPr>
          <w:rStyle w:val="27"/>
          <w:rFonts w:hint="eastAsia" w:ascii="等线" w:hAnsi="等线" w:eastAsia="等线" w:cs="Arial"/>
          <w:sz w:val="22"/>
          <w:szCs w:val="22"/>
        </w:rPr>
        <w:t>（十二）国有资产占有情况说明.....................................................................( )</w:t>
      </w:r>
    </w:p>
    <w:p>
      <w:pPr>
        <w:spacing w:line="600" w:lineRule="atLeast"/>
        <w:ind w:firstLine="640"/>
        <w:jc w:val="both"/>
        <w:rPr>
          <w:rFonts w:hint="eastAsia"/>
        </w:rPr>
      </w:pPr>
      <w:r>
        <w:rPr>
          <w:rStyle w:val="27"/>
          <w:rFonts w:hint="eastAsia" w:ascii="等线" w:hAnsi="等线" w:eastAsia="等线" w:cs="Arial"/>
          <w:sz w:val="22"/>
          <w:szCs w:val="22"/>
        </w:rPr>
        <w:t>（十三）预算绩效情况说明.............................................................................( )</w:t>
      </w:r>
    </w:p>
    <w:p>
      <w:pPr>
        <w:spacing w:line="600" w:lineRule="atLeast"/>
        <w:ind w:firstLine="640"/>
        <w:jc w:val="both"/>
        <w:rPr>
          <w:rFonts w:hint="eastAsia"/>
        </w:rPr>
      </w:pPr>
      <w:r>
        <w:rPr>
          <w:rStyle w:val="27"/>
          <w:rFonts w:hint="eastAsia" w:ascii="等线" w:hAnsi="等线" w:eastAsia="等线" w:cs="Arial"/>
          <w:sz w:val="22"/>
          <w:szCs w:val="22"/>
        </w:rPr>
        <w:t>四、名词解释.........................................................................................</w:t>
      </w:r>
      <w:bookmarkStart w:id="0" w:name="_GoBack"/>
      <w:bookmarkEnd w:id="0"/>
      <w:r>
        <w:rPr>
          <w:rStyle w:val="27"/>
          <w:rFonts w:hint="eastAsia" w:ascii="等线" w:hAnsi="等线" w:eastAsia="等线" w:cs="Arial"/>
          <w:sz w:val="22"/>
          <w:szCs w:val="22"/>
        </w:rPr>
        <w:t>........( )</w:t>
      </w:r>
    </w:p>
    <w:p>
      <w:pPr>
        <w:spacing w:line="600" w:lineRule="atLeast"/>
        <w:ind w:firstLine="640"/>
        <w:jc w:val="both"/>
        <w:rPr>
          <w:rFonts w:hint="eastAsia"/>
        </w:rPr>
      </w:pPr>
      <w:r>
        <w:rPr>
          <w:rStyle w:val="27"/>
          <w:rFonts w:hint="eastAsia" w:ascii="黑体" w:hAnsi="宋体" w:eastAsia="黑体" w:cs="Arial"/>
          <w:sz w:val="32"/>
          <w:szCs w:val="32"/>
        </w:rPr>
        <w:t>一、概况</w:t>
      </w:r>
    </w:p>
    <w:p>
      <w:pPr>
        <w:spacing w:line="600" w:lineRule="atLeast"/>
        <w:ind w:firstLine="640"/>
        <w:jc w:val="both"/>
        <w:rPr>
          <w:rFonts w:hint="eastAsia"/>
        </w:rPr>
      </w:pPr>
      <w:r>
        <w:rPr>
          <w:rStyle w:val="27"/>
          <w:rFonts w:hint="eastAsia" w:ascii="楷体" w:hAnsi="楷体" w:eastAsia="楷体"/>
          <w:sz w:val="32"/>
          <w:szCs w:val="32"/>
        </w:rPr>
        <w:t>（一）部门职责</w:t>
      </w:r>
    </w:p>
    <w:p>
      <w:pPr>
        <w:spacing w:line="360" w:lineRule="auto"/>
        <w:ind w:firstLine="640" w:firstLineChars="200"/>
        <w:rPr>
          <w:rFonts w:hint="eastAsia" w:ascii="仿宋_GB2312" w:eastAsia="仿宋_GB2312"/>
        </w:rPr>
      </w:pPr>
      <w:r>
        <w:rPr>
          <w:rFonts w:hint="eastAsia" w:ascii="仿宋" w:hAnsi="仿宋" w:eastAsia="仿宋"/>
          <w:sz w:val="32"/>
          <w:szCs w:val="32"/>
        </w:rPr>
        <w:t>1.主要职能。浙南科技城管委会职责：负责浙南科技城28平方公里范围内的开发、建设、管理及项目审批、招商引资、人才引进服务等；负责国家级科技企业孵化器、温州国际激光与光电孵化器、激光与光电联合研究院等创新平台和高新区人才大厦、安心公寓等项目的建设和管理工作。</w:t>
      </w:r>
    </w:p>
    <w:p>
      <w:pPr>
        <w:spacing w:line="600" w:lineRule="atLeast"/>
        <w:ind w:firstLine="643" w:firstLineChars="200"/>
        <w:jc w:val="both"/>
        <w:rPr>
          <w:rFonts w:hint="eastAsia"/>
        </w:rPr>
      </w:pPr>
      <w:r>
        <w:rPr>
          <w:rStyle w:val="27"/>
          <w:rFonts w:hint="eastAsia" w:ascii="楷体" w:hAnsi="楷体" w:eastAsia="楷体" w:cs="Arial"/>
          <w:sz w:val="32"/>
          <w:szCs w:val="32"/>
        </w:rPr>
        <w:t>（二）机构设置</w:t>
      </w:r>
    </w:p>
    <w:p>
      <w:pPr>
        <w:spacing w:line="600" w:lineRule="atLeast"/>
        <w:ind w:firstLine="640"/>
        <w:jc w:val="both"/>
        <w:rPr>
          <w:rFonts w:hint="eastAsia" w:ascii="仿宋" w:hAnsi="仿宋" w:eastAsia="仿宋" w:cs="Arial"/>
          <w:sz w:val="32"/>
          <w:szCs w:val="32"/>
        </w:rPr>
      </w:pPr>
      <w:r>
        <w:rPr>
          <w:rFonts w:hint="eastAsia" w:ascii="仿宋" w:hAnsi="仿宋" w:eastAsia="仿宋" w:cs="Arial"/>
          <w:sz w:val="32"/>
          <w:szCs w:val="32"/>
        </w:rPr>
        <w:t>从预算单位构成看，温州浙南科技城管理委员会部门决算包括：局本级决算。</w:t>
      </w:r>
    </w:p>
    <w:p>
      <w:pPr>
        <w:spacing w:line="600" w:lineRule="atLeast"/>
        <w:ind w:firstLine="640"/>
        <w:jc w:val="both"/>
        <w:rPr>
          <w:rFonts w:hint="eastAsia" w:ascii="仿宋" w:hAnsi="仿宋" w:eastAsia="仿宋" w:cs="Arial"/>
          <w:sz w:val="32"/>
          <w:szCs w:val="32"/>
          <w:highlight w:val="none"/>
        </w:rPr>
      </w:pPr>
      <w:r>
        <w:rPr>
          <w:rFonts w:hint="eastAsia" w:ascii="仿宋" w:hAnsi="仿宋" w:eastAsia="仿宋" w:cs="Arial"/>
          <w:sz w:val="32"/>
          <w:szCs w:val="32"/>
          <w:highlight w:val="none"/>
          <w:lang w:eastAsia="zh-CN"/>
        </w:rPr>
        <w:t>无纳入</w:t>
      </w:r>
      <w:r>
        <w:rPr>
          <w:rFonts w:hint="eastAsia" w:ascii="仿宋" w:hAnsi="仿宋" w:eastAsia="仿宋" w:cs="Arial"/>
          <w:sz w:val="32"/>
          <w:szCs w:val="32"/>
          <w:highlight w:val="none"/>
        </w:rPr>
        <w:t>温州浙南科技城管理委员会</w:t>
      </w:r>
      <w:r>
        <w:rPr>
          <w:rFonts w:hint="eastAsia" w:ascii="仿宋" w:hAnsi="仿宋" w:eastAsia="仿宋" w:cs="Arial"/>
          <w:sz w:val="32"/>
          <w:szCs w:val="32"/>
          <w:highlight w:val="none"/>
          <w:lang w:val="en-US"/>
        </w:rPr>
        <w:t>2020</w:t>
      </w:r>
      <w:r>
        <w:rPr>
          <w:rFonts w:hint="eastAsia" w:ascii="仿宋" w:hAnsi="仿宋" w:eastAsia="仿宋" w:cs="Arial"/>
          <w:sz w:val="32"/>
          <w:szCs w:val="32"/>
          <w:highlight w:val="none"/>
          <w:lang w:eastAsia="zh-CN"/>
        </w:rPr>
        <w:t>年度部门决算编制范围的二级预算单位。</w:t>
      </w:r>
    </w:p>
    <w:p>
      <w:pPr>
        <w:spacing w:line="600" w:lineRule="atLeast"/>
        <w:ind w:firstLine="640"/>
        <w:jc w:val="both"/>
        <w:rPr>
          <w:rFonts w:hint="eastAsia"/>
        </w:rPr>
      </w:pPr>
      <w:r>
        <w:rPr>
          <w:rStyle w:val="27"/>
          <w:rFonts w:hint="eastAsia" w:ascii="黑体" w:hAnsi="宋体" w:eastAsia="黑体" w:cs="Arial"/>
          <w:sz w:val="32"/>
          <w:szCs w:val="32"/>
        </w:rPr>
        <w:t>二、2020年度部门决算公开表</w:t>
      </w:r>
    </w:p>
    <w:p>
      <w:pPr>
        <w:spacing w:line="600" w:lineRule="atLeast"/>
        <w:ind w:firstLine="640"/>
        <w:jc w:val="both"/>
        <w:rPr>
          <w:rFonts w:hint="eastAsia"/>
        </w:rPr>
      </w:pPr>
      <w:r>
        <w:rPr>
          <w:rFonts w:hint="eastAsia" w:ascii="仿宋" w:hAnsi="仿宋" w:eastAsia="仿宋" w:cs="Arial"/>
          <w:sz w:val="32"/>
          <w:szCs w:val="32"/>
        </w:rPr>
        <w:t>详见附表。</w:t>
      </w:r>
    </w:p>
    <w:p>
      <w:pPr>
        <w:spacing w:line="600" w:lineRule="atLeast"/>
        <w:ind w:firstLine="640"/>
        <w:jc w:val="both"/>
        <w:rPr>
          <w:rFonts w:hint="eastAsia"/>
        </w:rPr>
      </w:pPr>
      <w:r>
        <w:rPr>
          <w:rStyle w:val="27"/>
          <w:rFonts w:hint="eastAsia" w:ascii="黑体" w:hAnsi="宋体" w:eastAsia="黑体" w:cs="Arial"/>
          <w:sz w:val="32"/>
          <w:szCs w:val="32"/>
        </w:rPr>
        <w:t>三、2020年度部门决算情况说明</w:t>
      </w:r>
    </w:p>
    <w:p>
      <w:pPr>
        <w:spacing w:line="600" w:lineRule="atLeast"/>
        <w:ind w:firstLine="640"/>
        <w:jc w:val="both"/>
        <w:rPr>
          <w:rFonts w:hint="eastAsia"/>
        </w:rPr>
      </w:pPr>
      <w:r>
        <w:rPr>
          <w:rStyle w:val="27"/>
          <w:rFonts w:hint="eastAsia" w:ascii="楷体" w:hAnsi="楷体" w:eastAsia="楷体" w:cs="Arial"/>
          <w:sz w:val="32"/>
          <w:szCs w:val="32"/>
        </w:rPr>
        <w:t>（一）收入支出决算总体情况说明</w:t>
      </w:r>
    </w:p>
    <w:p>
      <w:pPr>
        <w:spacing w:line="600" w:lineRule="atLeast"/>
        <w:ind w:firstLine="640"/>
        <w:jc w:val="both"/>
        <w:rPr>
          <w:rFonts w:hint="eastAsia"/>
        </w:rPr>
      </w:pPr>
      <w:r>
        <w:rPr>
          <w:rFonts w:hint="eastAsia" w:ascii="仿宋" w:hAnsi="仿宋" w:eastAsia="仿宋"/>
          <w:sz w:val="32"/>
          <w:szCs w:val="32"/>
        </w:rPr>
        <w:t>2020年度收入总计242,380.18万元，支出总计242,380.18万元,与2019年度相比，各</w:t>
      </w:r>
      <w:r>
        <w:rPr>
          <w:rFonts w:hint="eastAsia" w:ascii="仿宋" w:hAnsi="仿宋" w:eastAsia="仿宋" w:cs="Arial"/>
          <w:sz w:val="32"/>
          <w:szCs w:val="32"/>
        </w:rPr>
        <w:t>增加</w:t>
      </w:r>
      <w:r>
        <w:rPr>
          <w:rFonts w:hint="eastAsia" w:ascii="仿宋" w:hAnsi="仿宋" w:eastAsia="仿宋"/>
          <w:sz w:val="32"/>
          <w:szCs w:val="32"/>
        </w:rPr>
        <w:t>209,352.60万元，</w:t>
      </w:r>
      <w:r>
        <w:rPr>
          <w:rFonts w:hint="eastAsia" w:ascii="仿宋" w:hAnsi="仿宋" w:eastAsia="仿宋" w:cs="Arial"/>
          <w:sz w:val="32"/>
          <w:szCs w:val="32"/>
        </w:rPr>
        <w:t>增长</w:t>
      </w:r>
      <w:r>
        <w:rPr>
          <w:rFonts w:hint="eastAsia" w:ascii="仿宋" w:hAnsi="仿宋" w:eastAsia="仿宋"/>
          <w:sz w:val="32"/>
          <w:szCs w:val="32"/>
        </w:rPr>
        <w:t>633.87%。主要原因是：当年土地出让金返还较上年增加。</w:t>
      </w:r>
    </w:p>
    <w:p>
      <w:pPr>
        <w:spacing w:line="600" w:lineRule="atLeast"/>
        <w:ind w:firstLine="640"/>
        <w:jc w:val="both"/>
        <w:rPr>
          <w:rFonts w:hint="eastAsia"/>
        </w:rPr>
      </w:pPr>
      <w:r>
        <w:rPr>
          <w:rStyle w:val="27"/>
          <w:rFonts w:hint="eastAsia" w:ascii="楷体" w:hAnsi="楷体" w:eastAsia="楷体" w:cs="Arial"/>
          <w:sz w:val="32"/>
          <w:szCs w:val="32"/>
        </w:rPr>
        <w:t>（二）收入决算情况说明</w:t>
      </w:r>
    </w:p>
    <w:p>
      <w:pPr>
        <w:spacing w:line="600" w:lineRule="atLeast"/>
        <w:ind w:firstLine="640"/>
        <w:jc w:val="both"/>
        <w:rPr>
          <w:rFonts w:hint="eastAsia"/>
        </w:rPr>
      </w:pPr>
      <w:r>
        <w:rPr>
          <w:rFonts w:hint="eastAsia" w:ascii="仿宋" w:hAnsi="仿宋" w:eastAsia="仿宋" w:cs="Arial"/>
          <w:sz w:val="32"/>
          <w:szCs w:val="32"/>
        </w:rPr>
        <w:t>本年收入合计242,380.18万元；包括财政拨款收入238,942.75万元（其中，一般公共预算21,213.68万元，政府性基金预算217,729.08万元,国有资本经营预算0万元），占收入合计98.58%；上级补助收入0万元，占收入合计0%；事业收入0万元，占收入合计0%；经营收入0万元，占收入合计0%；附属单位上缴收入0万元，占收入合计0%；其他收入3,437.43万元，占收入合计1.42%。</w:t>
      </w:r>
    </w:p>
    <w:p>
      <w:pPr>
        <w:spacing w:line="600" w:lineRule="atLeast"/>
        <w:ind w:firstLine="640"/>
        <w:jc w:val="both"/>
        <w:rPr>
          <w:rFonts w:hint="eastAsia"/>
        </w:rPr>
      </w:pPr>
      <w:r>
        <w:rPr>
          <w:rStyle w:val="27"/>
          <w:rFonts w:hint="eastAsia" w:ascii="楷体" w:hAnsi="楷体" w:eastAsia="楷体" w:cs="Arial"/>
          <w:sz w:val="32"/>
          <w:szCs w:val="32"/>
        </w:rPr>
        <w:t>（三）支出决算情况说明</w:t>
      </w:r>
    </w:p>
    <w:p>
      <w:pPr>
        <w:spacing w:line="600" w:lineRule="atLeast"/>
        <w:ind w:firstLine="640"/>
        <w:jc w:val="both"/>
        <w:rPr>
          <w:rFonts w:hint="eastAsia"/>
        </w:rPr>
      </w:pPr>
      <w:r>
        <w:rPr>
          <w:rFonts w:hint="eastAsia" w:ascii="仿宋" w:hAnsi="仿宋" w:eastAsia="仿宋" w:cs="Arial"/>
          <w:sz w:val="32"/>
          <w:szCs w:val="32"/>
        </w:rPr>
        <w:t>本年支出合计242,380.18万元，其中基本支出2,005.59万元，占0.83%；项目支出240,374.60万元，占99.17%；上缴上级支出0万元，占0%；经营支出0万元，占0%；对附属单位补助支出0万元，占0%。</w:t>
      </w:r>
    </w:p>
    <w:p>
      <w:pPr>
        <w:spacing w:line="600" w:lineRule="atLeast"/>
        <w:ind w:firstLine="640"/>
        <w:jc w:val="both"/>
        <w:rPr>
          <w:rFonts w:hint="eastAsia"/>
        </w:rPr>
      </w:pPr>
      <w:r>
        <w:rPr>
          <w:rStyle w:val="27"/>
          <w:rFonts w:hint="eastAsia" w:ascii="楷体" w:hAnsi="楷体" w:eastAsia="楷体" w:cs="Arial"/>
          <w:sz w:val="32"/>
          <w:szCs w:val="32"/>
        </w:rPr>
        <w:t>（四）财政拨款收入支出决算总体情况说明</w:t>
      </w:r>
    </w:p>
    <w:p>
      <w:pPr>
        <w:spacing w:line="600" w:lineRule="atLeast"/>
        <w:ind w:firstLine="640"/>
        <w:jc w:val="both"/>
        <w:rPr>
          <w:rFonts w:hint="eastAsia"/>
          <w:highlight w:val="yellow"/>
        </w:rPr>
      </w:pPr>
      <w:r>
        <w:rPr>
          <w:rFonts w:hint="eastAsia" w:ascii="仿宋" w:hAnsi="仿宋" w:eastAsia="仿宋"/>
          <w:sz w:val="32"/>
          <w:szCs w:val="32"/>
        </w:rPr>
        <w:t>2020年度财政拨款收入总计238,942.75万元，支出总计238,942.75万元，与2019年相比，各增加207,744.57万元，增长665.89%。主要原因是当年土地出让金返还较上年增加；财政拨款支出年初预算数238,942.75</w:t>
      </w:r>
      <w:r>
        <w:rPr>
          <w:rFonts w:hint="eastAsia" w:ascii="仿宋" w:hAnsi="仿宋" w:eastAsia="仿宋" w:cs="Arial"/>
          <w:sz w:val="32"/>
          <w:szCs w:val="32"/>
        </w:rPr>
        <w:t>万元，完成年初预算的</w:t>
      </w:r>
      <w:r>
        <w:rPr>
          <w:rFonts w:hint="eastAsia" w:ascii="仿宋" w:hAnsi="仿宋" w:eastAsia="仿宋"/>
          <w:sz w:val="32"/>
          <w:szCs w:val="32"/>
        </w:rPr>
        <w:t>100%</w:t>
      </w:r>
      <w:r>
        <w:rPr>
          <w:rFonts w:hint="eastAsia" w:ascii="仿宋" w:hAnsi="仿宋" w:eastAsia="仿宋"/>
          <w:sz w:val="32"/>
          <w:szCs w:val="32"/>
          <w:highlight w:val="none"/>
        </w:rPr>
        <w:t>。</w:t>
      </w:r>
    </w:p>
    <w:p>
      <w:pPr>
        <w:spacing w:line="600" w:lineRule="atLeast"/>
        <w:ind w:firstLine="640"/>
        <w:jc w:val="both"/>
        <w:rPr>
          <w:rFonts w:hint="eastAsia"/>
        </w:rPr>
      </w:pPr>
      <w:r>
        <w:rPr>
          <w:rStyle w:val="27"/>
          <w:rFonts w:hint="eastAsia" w:ascii="楷体" w:hAnsi="楷体" w:eastAsia="楷体" w:cs="Arial"/>
          <w:sz w:val="32"/>
          <w:szCs w:val="32"/>
        </w:rPr>
        <w:t>（五）一般公共预算财政拨款支出决算情况说明</w:t>
      </w:r>
    </w:p>
    <w:p>
      <w:pPr>
        <w:spacing w:line="600" w:lineRule="atLeast"/>
        <w:ind w:firstLine="640"/>
        <w:jc w:val="both"/>
        <w:rPr>
          <w:rFonts w:hint="eastAsia"/>
        </w:rPr>
      </w:pPr>
      <w:r>
        <w:rPr>
          <w:rStyle w:val="27"/>
          <w:rFonts w:hint="eastAsia" w:ascii="仿宋" w:hAnsi="仿宋" w:eastAsia="仿宋"/>
          <w:sz w:val="32"/>
          <w:szCs w:val="32"/>
        </w:rPr>
        <w:t>1.一般公共预算财政拨款支出决算总体情况。</w:t>
      </w:r>
    </w:p>
    <w:p>
      <w:pPr>
        <w:spacing w:line="600" w:lineRule="atLeast"/>
        <w:ind w:firstLine="640"/>
        <w:jc w:val="both"/>
        <w:rPr>
          <w:rFonts w:hint="eastAsia"/>
        </w:rPr>
      </w:pPr>
      <w:r>
        <w:rPr>
          <w:rFonts w:hint="eastAsia" w:ascii="仿宋" w:hAnsi="仿宋" w:eastAsia="仿宋"/>
          <w:sz w:val="32"/>
          <w:szCs w:val="32"/>
        </w:rPr>
        <w:t>2020年度一般公共预算财政拨款支出21,213.68万元，占本年支出合计的8.75%。与2019年相比，一般公共预算财政拨款支出增加3,160.65万元，增长17.51%。主要原因是：当年科技支出中对企业补助较上年有所增长。</w:t>
      </w:r>
    </w:p>
    <w:p>
      <w:pPr>
        <w:spacing w:line="600" w:lineRule="atLeast"/>
        <w:ind w:firstLine="640"/>
        <w:jc w:val="both"/>
        <w:rPr>
          <w:rFonts w:hint="eastAsia"/>
        </w:rPr>
      </w:pPr>
      <w:r>
        <w:rPr>
          <w:rStyle w:val="27"/>
          <w:rFonts w:hint="eastAsia" w:ascii="仿宋" w:hAnsi="仿宋" w:eastAsia="仿宋"/>
          <w:sz w:val="32"/>
          <w:szCs w:val="32"/>
        </w:rPr>
        <w:t>2.一般公共预算财政拨款支出决算结构情况。</w:t>
      </w:r>
    </w:p>
    <w:p>
      <w:pPr>
        <w:spacing w:line="600" w:lineRule="atLeast"/>
        <w:ind w:firstLine="640"/>
        <w:jc w:val="both"/>
        <w:rPr>
          <w:rFonts w:hint="eastAsia"/>
        </w:rPr>
      </w:pPr>
      <w:r>
        <w:rPr>
          <w:rFonts w:hint="eastAsia" w:ascii="仿宋" w:hAnsi="仿宋" w:eastAsia="仿宋"/>
          <w:sz w:val="32"/>
          <w:szCs w:val="32"/>
        </w:rPr>
        <w:t>2020年度一般公共预算财政拨款支出21,213.68万元，主要用于以下方面：一般公共服务（类）支出1.32万元，占0.01%；国防（类）支出0万元,占0%；公共安全（类）支出0万元,占0%；教育（类）支出0万元,占0%；科学技术（类）支出17,678.43万元,占83.34%；文化旅游体育与传媒（类）支出0万元,占0%；社会保障和就业（类）支出158.94万元,占0.75%；卫生健康（类）支出57.70万元,占0.27%；节能环保（类）支出0万元,占0%；城乡社区（类）支出365.34万元,占1.72%；农林水（类）支出0万元,占0%；交通运输（类）支出0万元,占0%；资源勘探工业信息等（类）支出0万元,占0%；商业服务业等（类）支出0万元,占0%；金融（类）支出0万元,占0%；援助其他地区（类）支出0万元,占0%；自然资源海洋气象等（类）支出900.00万元,占4.24%；住房保障（类）支出123.94万元,占0.58%；粮油物资储备（类）支出0万元,占0%；灾害防治及应急管理（类）支出0万元,占0%；其他（类）支出1,928.00万元,占9.09%；债务还本（类）支出0万元,占0%；债务付息（类）支出0万元,占0%。</w:t>
      </w:r>
    </w:p>
    <w:p>
      <w:pPr>
        <w:spacing w:line="600" w:lineRule="atLeast"/>
        <w:ind w:firstLine="640"/>
        <w:jc w:val="both"/>
        <w:rPr>
          <w:rFonts w:hint="eastAsia"/>
        </w:rPr>
      </w:pPr>
      <w:r>
        <w:rPr>
          <w:rStyle w:val="27"/>
          <w:rFonts w:hint="eastAsia" w:ascii="仿宋" w:hAnsi="仿宋" w:eastAsia="仿宋"/>
          <w:sz w:val="32"/>
          <w:szCs w:val="32"/>
        </w:rPr>
        <w:t>3.一般公共预算财政拨款支出决算具体情况。</w:t>
      </w:r>
    </w:p>
    <w:p>
      <w:pPr>
        <w:spacing w:line="600" w:lineRule="atLeast"/>
        <w:ind w:firstLine="640"/>
        <w:jc w:val="both"/>
        <w:rPr>
          <w:rFonts w:hint="eastAsia"/>
        </w:rPr>
      </w:pPr>
      <w:r>
        <w:rPr>
          <w:rFonts w:hint="eastAsia" w:ascii="仿宋" w:hAnsi="仿宋" w:eastAsia="仿宋"/>
          <w:sz w:val="32"/>
          <w:szCs w:val="32"/>
        </w:rPr>
        <w:t>2020年度一般公共预算财政拨款支出年初预算为21,213.68</w:t>
      </w:r>
      <w:r>
        <w:rPr>
          <w:rFonts w:hint="eastAsia" w:ascii="仿宋" w:hAnsi="仿宋" w:eastAsia="仿宋" w:cs="Arial"/>
          <w:sz w:val="32"/>
          <w:szCs w:val="32"/>
        </w:rPr>
        <w:t>万元，支出决算为21,213.68万元,完成年初预算的</w:t>
      </w:r>
      <w:r>
        <w:rPr>
          <w:rFonts w:hint="eastAsia" w:ascii="仿宋" w:hAnsi="仿宋" w:eastAsia="仿宋"/>
          <w:sz w:val="32"/>
          <w:szCs w:val="32"/>
        </w:rPr>
        <w:t>100%。其中：</w:t>
      </w:r>
    </w:p>
    <w:p>
      <w:pPr>
        <w:spacing w:line="600" w:lineRule="atLeast"/>
        <w:ind w:firstLine="640"/>
        <w:jc w:val="both"/>
        <w:rPr>
          <w:rFonts w:hint="eastAsia"/>
        </w:rPr>
      </w:pPr>
      <w:r>
        <w:rPr>
          <w:rFonts w:hint="eastAsia" w:ascii="仿宋" w:hAnsi="仿宋" w:eastAsia="仿宋" w:cs="Arial"/>
          <w:sz w:val="32"/>
          <w:szCs w:val="32"/>
        </w:rPr>
        <w:t>一般公共服务支出（类）组织事务（款）其他组织事务支出（项）。年初预算为</w:t>
      </w:r>
      <w:r>
        <w:rPr>
          <w:rFonts w:hint="eastAsia" w:ascii="仿宋" w:hAnsi="仿宋" w:eastAsia="仿宋"/>
          <w:sz w:val="32"/>
          <w:szCs w:val="32"/>
        </w:rPr>
        <w:t>1.32</w:t>
      </w:r>
      <w:r>
        <w:rPr>
          <w:rFonts w:hint="eastAsia" w:ascii="仿宋" w:hAnsi="仿宋" w:eastAsia="仿宋" w:cs="Arial"/>
          <w:sz w:val="32"/>
          <w:szCs w:val="32"/>
        </w:rPr>
        <w:t>万元，支出决算为</w:t>
      </w:r>
      <w:r>
        <w:rPr>
          <w:rFonts w:hint="eastAsia" w:ascii="仿宋" w:hAnsi="仿宋" w:eastAsia="仿宋"/>
          <w:sz w:val="32"/>
          <w:szCs w:val="32"/>
        </w:rPr>
        <w:t>1.32</w:t>
      </w:r>
      <w:r>
        <w:rPr>
          <w:rFonts w:hint="eastAsia" w:ascii="仿宋" w:hAnsi="仿宋" w:eastAsia="仿宋" w:cs="Arial"/>
          <w:sz w:val="32"/>
          <w:szCs w:val="32"/>
        </w:rPr>
        <w:t>万元，完成年初预算的</w:t>
      </w:r>
      <w:r>
        <w:rPr>
          <w:rFonts w:hint="eastAsia" w:ascii="仿宋" w:hAnsi="仿宋" w:eastAsia="仿宋"/>
          <w:sz w:val="32"/>
          <w:szCs w:val="32"/>
        </w:rPr>
        <w:t>100%。</w:t>
      </w:r>
    </w:p>
    <w:p>
      <w:pPr>
        <w:spacing w:line="600" w:lineRule="atLeast"/>
        <w:ind w:firstLine="640"/>
        <w:jc w:val="both"/>
        <w:rPr>
          <w:rFonts w:hint="eastAsia"/>
        </w:rPr>
      </w:pPr>
      <w:r>
        <w:rPr>
          <w:rFonts w:hint="eastAsia" w:ascii="仿宋" w:hAnsi="仿宋" w:eastAsia="仿宋" w:cs="Arial"/>
          <w:sz w:val="32"/>
          <w:szCs w:val="32"/>
        </w:rPr>
        <w:t>科学技术支出（类）科学技术管理事务（款）行政运行（项）。年初预算为</w:t>
      </w:r>
      <w:r>
        <w:rPr>
          <w:rFonts w:hint="eastAsia" w:ascii="仿宋" w:hAnsi="仿宋" w:eastAsia="仿宋"/>
          <w:sz w:val="32"/>
          <w:szCs w:val="32"/>
        </w:rPr>
        <w:t>1</w:t>
      </w:r>
      <w:r>
        <w:rPr>
          <w:rFonts w:hint="eastAsia" w:ascii="仿宋" w:hAnsi="仿宋" w:eastAsia="仿宋"/>
          <w:sz w:val="32"/>
          <w:szCs w:val="32"/>
          <w:lang w:val="en-US" w:eastAsia="zh-CN"/>
        </w:rPr>
        <w:t>,</w:t>
      </w:r>
      <w:r>
        <w:rPr>
          <w:rFonts w:hint="eastAsia" w:ascii="仿宋" w:hAnsi="仿宋" w:eastAsia="仿宋"/>
          <w:sz w:val="32"/>
          <w:szCs w:val="32"/>
        </w:rPr>
        <w:t>289.05</w:t>
      </w:r>
      <w:r>
        <w:rPr>
          <w:rFonts w:hint="eastAsia" w:ascii="仿宋" w:hAnsi="仿宋" w:eastAsia="仿宋" w:cs="Arial"/>
          <w:sz w:val="32"/>
          <w:szCs w:val="32"/>
        </w:rPr>
        <w:t>万元，支出决算为</w:t>
      </w:r>
      <w:r>
        <w:rPr>
          <w:rFonts w:hint="eastAsia" w:ascii="仿宋" w:hAnsi="仿宋" w:eastAsia="仿宋"/>
          <w:sz w:val="32"/>
          <w:szCs w:val="32"/>
        </w:rPr>
        <w:t>1</w:t>
      </w:r>
      <w:r>
        <w:rPr>
          <w:rFonts w:hint="eastAsia" w:ascii="仿宋" w:hAnsi="仿宋" w:eastAsia="仿宋"/>
          <w:sz w:val="32"/>
          <w:szCs w:val="32"/>
          <w:lang w:val="en-US" w:eastAsia="zh-CN"/>
        </w:rPr>
        <w:t>,</w:t>
      </w:r>
      <w:r>
        <w:rPr>
          <w:rFonts w:hint="eastAsia" w:ascii="仿宋" w:hAnsi="仿宋" w:eastAsia="仿宋"/>
          <w:sz w:val="32"/>
          <w:szCs w:val="32"/>
        </w:rPr>
        <w:t>289.05万</w:t>
      </w:r>
      <w:r>
        <w:rPr>
          <w:rFonts w:hint="eastAsia" w:ascii="仿宋" w:hAnsi="仿宋" w:eastAsia="仿宋" w:cs="Arial"/>
          <w:sz w:val="32"/>
          <w:szCs w:val="32"/>
        </w:rPr>
        <w:t>元，完成年初预算的</w:t>
      </w:r>
      <w:r>
        <w:rPr>
          <w:rFonts w:hint="eastAsia" w:ascii="仿宋" w:hAnsi="仿宋" w:eastAsia="仿宋"/>
          <w:sz w:val="32"/>
          <w:szCs w:val="32"/>
        </w:rPr>
        <w:t>100%。</w:t>
      </w:r>
    </w:p>
    <w:p>
      <w:pPr>
        <w:spacing w:line="600" w:lineRule="atLeast"/>
        <w:ind w:firstLine="640"/>
        <w:jc w:val="both"/>
        <w:rPr>
          <w:rFonts w:hint="eastAsia" w:ascii="仿宋" w:hAnsi="仿宋" w:eastAsia="仿宋" w:cs="Arial"/>
          <w:sz w:val="32"/>
          <w:szCs w:val="32"/>
        </w:rPr>
      </w:pPr>
      <w:r>
        <w:rPr>
          <w:rFonts w:hint="eastAsia" w:ascii="仿宋" w:hAnsi="仿宋" w:eastAsia="仿宋" w:cs="Arial"/>
          <w:sz w:val="32"/>
          <w:szCs w:val="32"/>
        </w:rPr>
        <w:t>科学技术支出（类）科学技术管理事务（款）一般行政管理事务（项）。年初预算为</w:t>
      </w:r>
      <w:r>
        <w:rPr>
          <w:rFonts w:hint="eastAsia" w:ascii="仿宋" w:hAnsi="仿宋" w:eastAsia="仿宋"/>
          <w:sz w:val="32"/>
          <w:szCs w:val="32"/>
        </w:rPr>
        <w:t>842.51</w:t>
      </w:r>
      <w:r>
        <w:rPr>
          <w:rFonts w:hint="eastAsia" w:ascii="仿宋" w:hAnsi="仿宋" w:eastAsia="仿宋" w:cs="Arial"/>
          <w:sz w:val="32"/>
          <w:szCs w:val="32"/>
        </w:rPr>
        <w:t>万元，支出决算为</w:t>
      </w:r>
      <w:r>
        <w:rPr>
          <w:rFonts w:hint="eastAsia" w:ascii="仿宋" w:hAnsi="仿宋" w:eastAsia="仿宋"/>
          <w:sz w:val="32"/>
          <w:szCs w:val="32"/>
        </w:rPr>
        <w:t>842.51万</w:t>
      </w:r>
      <w:r>
        <w:rPr>
          <w:rFonts w:hint="eastAsia" w:ascii="仿宋" w:hAnsi="仿宋" w:eastAsia="仿宋" w:cs="Arial"/>
          <w:sz w:val="32"/>
          <w:szCs w:val="32"/>
        </w:rPr>
        <w:t>元，完成年初预算的</w:t>
      </w:r>
      <w:r>
        <w:rPr>
          <w:rFonts w:hint="eastAsia" w:ascii="仿宋" w:hAnsi="仿宋" w:eastAsia="仿宋"/>
          <w:sz w:val="32"/>
          <w:szCs w:val="32"/>
        </w:rPr>
        <w:t>100%。</w:t>
      </w:r>
    </w:p>
    <w:p>
      <w:pPr>
        <w:spacing w:line="600" w:lineRule="atLeast"/>
        <w:ind w:firstLine="640"/>
        <w:jc w:val="both"/>
        <w:rPr>
          <w:rFonts w:hint="eastAsia"/>
        </w:rPr>
      </w:pPr>
      <w:r>
        <w:rPr>
          <w:rFonts w:hint="eastAsia" w:ascii="仿宋" w:hAnsi="仿宋" w:eastAsia="仿宋" w:cs="Arial"/>
          <w:sz w:val="32"/>
          <w:szCs w:val="32"/>
        </w:rPr>
        <w:t>科学技术支出（类）科学技术管理事务（款）其他科学技术管理事务支出（项）。年初预算为</w:t>
      </w:r>
      <w:r>
        <w:rPr>
          <w:rFonts w:hint="eastAsia" w:ascii="仿宋" w:hAnsi="仿宋" w:eastAsia="仿宋"/>
          <w:sz w:val="32"/>
          <w:szCs w:val="32"/>
        </w:rPr>
        <w:t>375.95</w:t>
      </w:r>
      <w:r>
        <w:rPr>
          <w:rFonts w:hint="eastAsia" w:ascii="仿宋" w:hAnsi="仿宋" w:eastAsia="仿宋" w:cs="Arial"/>
          <w:sz w:val="32"/>
          <w:szCs w:val="32"/>
        </w:rPr>
        <w:t>万元，支出决算为</w:t>
      </w:r>
      <w:r>
        <w:rPr>
          <w:rFonts w:hint="eastAsia" w:ascii="仿宋" w:hAnsi="仿宋" w:eastAsia="仿宋"/>
          <w:sz w:val="32"/>
          <w:szCs w:val="32"/>
        </w:rPr>
        <w:t>375.95万</w:t>
      </w:r>
      <w:r>
        <w:rPr>
          <w:rFonts w:hint="eastAsia" w:ascii="仿宋" w:hAnsi="仿宋" w:eastAsia="仿宋" w:cs="Arial"/>
          <w:sz w:val="32"/>
          <w:szCs w:val="32"/>
        </w:rPr>
        <w:t>元，完成年初预算的</w:t>
      </w:r>
      <w:r>
        <w:rPr>
          <w:rFonts w:hint="eastAsia" w:ascii="仿宋" w:hAnsi="仿宋" w:eastAsia="仿宋"/>
          <w:sz w:val="32"/>
          <w:szCs w:val="32"/>
        </w:rPr>
        <w:t>100%。</w:t>
      </w:r>
    </w:p>
    <w:p>
      <w:pPr>
        <w:spacing w:line="600" w:lineRule="atLeast"/>
        <w:ind w:firstLine="640"/>
        <w:jc w:val="both"/>
        <w:rPr>
          <w:rFonts w:hint="eastAsia"/>
        </w:rPr>
      </w:pPr>
      <w:r>
        <w:rPr>
          <w:rFonts w:hint="eastAsia" w:ascii="仿宋" w:hAnsi="仿宋" w:eastAsia="仿宋" w:cs="Arial"/>
          <w:sz w:val="32"/>
          <w:szCs w:val="32"/>
        </w:rPr>
        <w:t>科学技术支出（类）技术研究与开发（款）其他技术研究与开发支出（项）。年初预算为</w:t>
      </w:r>
      <w:r>
        <w:rPr>
          <w:rFonts w:hint="eastAsia" w:ascii="仿宋" w:hAnsi="仿宋" w:eastAsia="仿宋"/>
          <w:sz w:val="32"/>
          <w:szCs w:val="32"/>
        </w:rPr>
        <w:t>15</w:t>
      </w:r>
      <w:r>
        <w:rPr>
          <w:rFonts w:hint="eastAsia" w:ascii="仿宋" w:hAnsi="仿宋" w:eastAsia="仿宋"/>
          <w:sz w:val="32"/>
          <w:szCs w:val="32"/>
          <w:lang w:val="en-US" w:eastAsia="zh-CN"/>
        </w:rPr>
        <w:t>,</w:t>
      </w:r>
      <w:r>
        <w:rPr>
          <w:rFonts w:hint="eastAsia" w:ascii="仿宋" w:hAnsi="仿宋" w:eastAsia="仿宋"/>
          <w:sz w:val="32"/>
          <w:szCs w:val="32"/>
        </w:rPr>
        <w:t>170.92</w:t>
      </w:r>
      <w:r>
        <w:rPr>
          <w:rFonts w:hint="eastAsia" w:ascii="仿宋" w:hAnsi="仿宋" w:eastAsia="仿宋" w:cs="Arial"/>
          <w:sz w:val="32"/>
          <w:szCs w:val="32"/>
        </w:rPr>
        <w:t>万元，支出决算为</w:t>
      </w:r>
      <w:r>
        <w:rPr>
          <w:rFonts w:hint="eastAsia" w:ascii="仿宋" w:hAnsi="仿宋" w:eastAsia="仿宋"/>
          <w:sz w:val="32"/>
          <w:szCs w:val="32"/>
        </w:rPr>
        <w:t>15</w:t>
      </w:r>
      <w:r>
        <w:rPr>
          <w:rFonts w:hint="eastAsia" w:ascii="仿宋" w:hAnsi="仿宋" w:eastAsia="仿宋"/>
          <w:sz w:val="32"/>
          <w:szCs w:val="32"/>
          <w:lang w:val="en-US" w:eastAsia="zh-CN"/>
        </w:rPr>
        <w:t>,</w:t>
      </w:r>
      <w:r>
        <w:rPr>
          <w:rFonts w:hint="eastAsia" w:ascii="仿宋" w:hAnsi="仿宋" w:eastAsia="仿宋"/>
          <w:sz w:val="32"/>
          <w:szCs w:val="32"/>
        </w:rPr>
        <w:t>170.92万</w:t>
      </w:r>
      <w:r>
        <w:rPr>
          <w:rFonts w:hint="eastAsia" w:ascii="仿宋" w:hAnsi="仿宋" w:eastAsia="仿宋" w:cs="Arial"/>
          <w:sz w:val="32"/>
          <w:szCs w:val="32"/>
        </w:rPr>
        <w:t>元，完成年初预算的</w:t>
      </w:r>
      <w:r>
        <w:rPr>
          <w:rFonts w:hint="eastAsia" w:ascii="仿宋" w:hAnsi="仿宋" w:eastAsia="仿宋"/>
          <w:sz w:val="32"/>
          <w:szCs w:val="32"/>
        </w:rPr>
        <w:t>100%。</w:t>
      </w:r>
    </w:p>
    <w:p>
      <w:pPr>
        <w:spacing w:line="600" w:lineRule="atLeast"/>
        <w:ind w:firstLine="640"/>
        <w:jc w:val="both"/>
        <w:rPr>
          <w:rFonts w:hint="eastAsia"/>
        </w:rPr>
      </w:pPr>
      <w:r>
        <w:rPr>
          <w:rFonts w:hint="eastAsia" w:ascii="仿宋" w:hAnsi="仿宋" w:eastAsia="仿宋" w:cs="Arial"/>
          <w:sz w:val="32"/>
          <w:szCs w:val="32"/>
        </w:rPr>
        <w:t>社会保障和就业支出（类）行政事业单位养老支出（款）机关事业单位基本养老保险缴费支出（项）。年初预算为</w:t>
      </w:r>
      <w:r>
        <w:rPr>
          <w:rFonts w:hint="eastAsia" w:ascii="仿宋" w:hAnsi="仿宋" w:eastAsia="仿宋"/>
          <w:sz w:val="32"/>
          <w:szCs w:val="32"/>
        </w:rPr>
        <w:t>104.94</w:t>
      </w:r>
      <w:r>
        <w:rPr>
          <w:rFonts w:hint="eastAsia" w:ascii="仿宋" w:hAnsi="仿宋" w:eastAsia="仿宋" w:cs="Arial"/>
          <w:sz w:val="32"/>
          <w:szCs w:val="32"/>
        </w:rPr>
        <w:t>万元，支出决算为</w:t>
      </w:r>
      <w:r>
        <w:rPr>
          <w:rFonts w:hint="eastAsia" w:ascii="仿宋" w:hAnsi="仿宋" w:eastAsia="仿宋"/>
          <w:sz w:val="32"/>
          <w:szCs w:val="32"/>
        </w:rPr>
        <w:t>104.94万</w:t>
      </w:r>
      <w:r>
        <w:rPr>
          <w:rFonts w:hint="eastAsia" w:ascii="仿宋" w:hAnsi="仿宋" w:eastAsia="仿宋" w:cs="Arial"/>
          <w:sz w:val="32"/>
          <w:szCs w:val="32"/>
        </w:rPr>
        <w:t>元，完成年初预算的</w:t>
      </w:r>
      <w:r>
        <w:rPr>
          <w:rFonts w:hint="eastAsia" w:ascii="仿宋" w:hAnsi="仿宋" w:eastAsia="仿宋"/>
          <w:sz w:val="32"/>
          <w:szCs w:val="32"/>
        </w:rPr>
        <w:t>100%。</w:t>
      </w:r>
    </w:p>
    <w:p>
      <w:pPr>
        <w:spacing w:line="600" w:lineRule="atLeast"/>
        <w:ind w:firstLine="640" w:firstLineChars="200"/>
        <w:jc w:val="both"/>
        <w:rPr>
          <w:rFonts w:hint="eastAsia" w:ascii="仿宋" w:hAnsi="仿宋" w:eastAsia="仿宋" w:cs="Arial"/>
          <w:sz w:val="32"/>
          <w:szCs w:val="32"/>
        </w:rPr>
      </w:pPr>
      <w:r>
        <w:rPr>
          <w:rFonts w:hint="eastAsia" w:ascii="仿宋" w:hAnsi="仿宋" w:eastAsia="仿宋" w:cs="Arial"/>
          <w:sz w:val="32"/>
          <w:szCs w:val="32"/>
        </w:rPr>
        <w:t>社会保障和就业支出（类）行政事业单位养老支出（款）行政事业单位职业年金缴费（项）。年初预算为</w:t>
      </w:r>
      <w:r>
        <w:rPr>
          <w:rFonts w:hint="eastAsia" w:ascii="仿宋" w:hAnsi="仿宋" w:eastAsia="仿宋"/>
          <w:sz w:val="32"/>
          <w:szCs w:val="32"/>
        </w:rPr>
        <w:t>52.47</w:t>
      </w:r>
      <w:r>
        <w:rPr>
          <w:rFonts w:hint="eastAsia" w:ascii="仿宋" w:hAnsi="仿宋" w:eastAsia="仿宋" w:cs="Arial"/>
          <w:sz w:val="32"/>
          <w:szCs w:val="32"/>
        </w:rPr>
        <w:t>万元，支出决算为</w:t>
      </w:r>
      <w:r>
        <w:rPr>
          <w:rFonts w:hint="eastAsia" w:ascii="仿宋" w:hAnsi="仿宋" w:eastAsia="仿宋"/>
          <w:sz w:val="32"/>
          <w:szCs w:val="32"/>
        </w:rPr>
        <w:t>52.47万</w:t>
      </w:r>
      <w:r>
        <w:rPr>
          <w:rFonts w:hint="eastAsia" w:ascii="仿宋" w:hAnsi="仿宋" w:eastAsia="仿宋" w:cs="Arial"/>
          <w:sz w:val="32"/>
          <w:szCs w:val="32"/>
        </w:rPr>
        <w:t>元，完成年初预算的</w:t>
      </w:r>
      <w:r>
        <w:rPr>
          <w:rFonts w:hint="eastAsia" w:ascii="仿宋" w:hAnsi="仿宋" w:eastAsia="仿宋"/>
          <w:sz w:val="32"/>
          <w:szCs w:val="32"/>
        </w:rPr>
        <w:t>100%。</w:t>
      </w:r>
    </w:p>
    <w:p>
      <w:pPr>
        <w:spacing w:line="600" w:lineRule="atLeast"/>
        <w:ind w:firstLine="640" w:firstLineChars="200"/>
        <w:jc w:val="both"/>
        <w:rPr>
          <w:rFonts w:hint="eastAsia"/>
        </w:rPr>
      </w:pPr>
      <w:r>
        <w:rPr>
          <w:rFonts w:hint="eastAsia" w:ascii="仿宋" w:hAnsi="仿宋" w:eastAsia="仿宋" w:cs="Arial"/>
          <w:sz w:val="32"/>
          <w:szCs w:val="32"/>
        </w:rPr>
        <w:t>社会保障和就业支出（类）其他社会保障和就业支出（款）其他社会保障和就业支出（项）。年初预算为</w:t>
      </w:r>
      <w:r>
        <w:rPr>
          <w:rFonts w:hint="eastAsia" w:ascii="仿宋" w:hAnsi="仿宋" w:eastAsia="仿宋"/>
          <w:sz w:val="32"/>
          <w:szCs w:val="32"/>
        </w:rPr>
        <w:t>1.54</w:t>
      </w:r>
      <w:r>
        <w:rPr>
          <w:rFonts w:hint="eastAsia" w:ascii="仿宋" w:hAnsi="仿宋" w:eastAsia="仿宋" w:cs="Arial"/>
          <w:sz w:val="32"/>
          <w:szCs w:val="32"/>
        </w:rPr>
        <w:t>万元，支出决算为</w:t>
      </w:r>
      <w:r>
        <w:rPr>
          <w:rFonts w:hint="eastAsia" w:ascii="仿宋" w:hAnsi="仿宋" w:eastAsia="仿宋"/>
          <w:sz w:val="32"/>
          <w:szCs w:val="32"/>
        </w:rPr>
        <w:t>1.54万</w:t>
      </w:r>
      <w:r>
        <w:rPr>
          <w:rFonts w:hint="eastAsia" w:ascii="仿宋" w:hAnsi="仿宋" w:eastAsia="仿宋" w:cs="Arial"/>
          <w:sz w:val="32"/>
          <w:szCs w:val="32"/>
        </w:rPr>
        <w:t>元，完成年初预算的</w:t>
      </w:r>
      <w:r>
        <w:rPr>
          <w:rFonts w:hint="eastAsia" w:ascii="仿宋" w:hAnsi="仿宋" w:eastAsia="仿宋"/>
          <w:sz w:val="32"/>
          <w:szCs w:val="32"/>
        </w:rPr>
        <w:t>100%。</w:t>
      </w:r>
    </w:p>
    <w:p>
      <w:pPr>
        <w:spacing w:line="600" w:lineRule="atLeast"/>
        <w:ind w:firstLine="640" w:firstLineChars="200"/>
        <w:jc w:val="both"/>
        <w:rPr>
          <w:rFonts w:hint="eastAsia" w:ascii="仿宋" w:hAnsi="仿宋" w:eastAsia="仿宋" w:cs="Arial"/>
          <w:sz w:val="32"/>
          <w:szCs w:val="32"/>
        </w:rPr>
      </w:pPr>
      <w:r>
        <w:rPr>
          <w:rFonts w:hint="eastAsia" w:ascii="仿宋" w:hAnsi="仿宋" w:eastAsia="仿宋" w:cs="Arial"/>
          <w:sz w:val="32"/>
          <w:szCs w:val="32"/>
        </w:rPr>
        <w:t>卫生健康支出（类）行政事业单位医疗（款）行政单位医疗（项）。年初预算为</w:t>
      </w:r>
      <w:r>
        <w:rPr>
          <w:rFonts w:hint="eastAsia" w:ascii="仿宋" w:hAnsi="仿宋" w:eastAsia="仿宋"/>
          <w:sz w:val="32"/>
          <w:szCs w:val="32"/>
        </w:rPr>
        <w:t>57.7</w:t>
      </w:r>
      <w:r>
        <w:rPr>
          <w:rFonts w:hint="default" w:ascii="仿宋" w:hAnsi="仿宋" w:eastAsia="仿宋"/>
          <w:sz w:val="32"/>
          <w:szCs w:val="32"/>
          <w:lang w:val="en-US"/>
        </w:rPr>
        <w:t>0</w:t>
      </w:r>
      <w:r>
        <w:rPr>
          <w:rFonts w:hint="eastAsia" w:ascii="仿宋" w:hAnsi="仿宋" w:eastAsia="仿宋" w:cs="Arial"/>
          <w:sz w:val="32"/>
          <w:szCs w:val="32"/>
        </w:rPr>
        <w:t>万元，支出决算为</w:t>
      </w:r>
      <w:r>
        <w:rPr>
          <w:rFonts w:hint="eastAsia" w:ascii="仿宋" w:hAnsi="仿宋" w:eastAsia="仿宋"/>
          <w:sz w:val="32"/>
          <w:szCs w:val="32"/>
        </w:rPr>
        <w:t>57.7</w:t>
      </w:r>
      <w:r>
        <w:rPr>
          <w:rFonts w:hint="default" w:ascii="仿宋" w:hAnsi="仿宋" w:eastAsia="仿宋"/>
          <w:sz w:val="32"/>
          <w:szCs w:val="32"/>
          <w:lang w:val="en-US"/>
        </w:rPr>
        <w:t>0</w:t>
      </w:r>
      <w:r>
        <w:rPr>
          <w:rFonts w:hint="eastAsia" w:ascii="仿宋" w:hAnsi="仿宋" w:eastAsia="仿宋"/>
          <w:sz w:val="32"/>
          <w:szCs w:val="32"/>
        </w:rPr>
        <w:t>万</w:t>
      </w:r>
      <w:r>
        <w:rPr>
          <w:rFonts w:hint="eastAsia" w:ascii="仿宋" w:hAnsi="仿宋" w:eastAsia="仿宋" w:cs="Arial"/>
          <w:sz w:val="32"/>
          <w:szCs w:val="32"/>
        </w:rPr>
        <w:t>元，完成年初预算的</w:t>
      </w:r>
      <w:r>
        <w:rPr>
          <w:rFonts w:hint="eastAsia" w:ascii="仿宋" w:hAnsi="仿宋" w:eastAsia="仿宋"/>
          <w:sz w:val="32"/>
          <w:szCs w:val="32"/>
        </w:rPr>
        <w:t>100%。</w:t>
      </w:r>
    </w:p>
    <w:p>
      <w:pPr>
        <w:spacing w:line="600" w:lineRule="atLeast"/>
        <w:ind w:firstLine="640" w:firstLineChars="200"/>
        <w:jc w:val="both"/>
        <w:rPr>
          <w:rFonts w:hint="eastAsia"/>
        </w:rPr>
      </w:pPr>
      <w:r>
        <w:rPr>
          <w:rFonts w:hint="eastAsia" w:ascii="仿宋" w:hAnsi="仿宋" w:eastAsia="仿宋" w:cs="Arial"/>
          <w:sz w:val="32"/>
          <w:szCs w:val="32"/>
        </w:rPr>
        <w:t>城乡社区支出（类）其他城乡社区支出（款）其他城乡社区支出（项）。年初预算为</w:t>
      </w:r>
      <w:r>
        <w:rPr>
          <w:rFonts w:hint="eastAsia" w:ascii="仿宋" w:hAnsi="仿宋" w:eastAsia="仿宋"/>
          <w:sz w:val="32"/>
          <w:szCs w:val="32"/>
        </w:rPr>
        <w:t>365.34</w:t>
      </w:r>
      <w:r>
        <w:rPr>
          <w:rFonts w:hint="eastAsia" w:ascii="仿宋" w:hAnsi="仿宋" w:eastAsia="仿宋" w:cs="Arial"/>
          <w:sz w:val="32"/>
          <w:szCs w:val="32"/>
        </w:rPr>
        <w:t>万元，支出决算为</w:t>
      </w:r>
      <w:r>
        <w:rPr>
          <w:rFonts w:hint="eastAsia" w:ascii="仿宋" w:hAnsi="仿宋" w:eastAsia="仿宋"/>
          <w:sz w:val="32"/>
          <w:szCs w:val="32"/>
        </w:rPr>
        <w:t>365.34万</w:t>
      </w:r>
      <w:r>
        <w:rPr>
          <w:rFonts w:hint="eastAsia" w:ascii="仿宋" w:hAnsi="仿宋" w:eastAsia="仿宋" w:cs="Arial"/>
          <w:sz w:val="32"/>
          <w:szCs w:val="32"/>
        </w:rPr>
        <w:t>元，完成年初预算的</w:t>
      </w:r>
      <w:r>
        <w:rPr>
          <w:rFonts w:hint="eastAsia" w:ascii="仿宋" w:hAnsi="仿宋" w:eastAsia="仿宋"/>
          <w:sz w:val="32"/>
          <w:szCs w:val="32"/>
        </w:rPr>
        <w:t>100%。</w:t>
      </w:r>
    </w:p>
    <w:p>
      <w:pPr>
        <w:spacing w:line="600" w:lineRule="atLeast"/>
        <w:ind w:firstLine="640" w:firstLineChars="200"/>
        <w:jc w:val="both"/>
        <w:rPr>
          <w:rFonts w:hint="eastAsia"/>
        </w:rPr>
      </w:pPr>
      <w:r>
        <w:rPr>
          <w:rFonts w:hint="eastAsia" w:ascii="仿宋" w:hAnsi="仿宋" w:eastAsia="仿宋" w:cs="Arial"/>
          <w:sz w:val="32"/>
          <w:szCs w:val="32"/>
        </w:rPr>
        <w:t>自然资源海洋气象等支出（类）自然资源事务（款）其他自然资源事务支出（项）。年初预算为</w:t>
      </w:r>
      <w:r>
        <w:rPr>
          <w:rFonts w:hint="eastAsia" w:ascii="仿宋" w:hAnsi="仿宋" w:eastAsia="仿宋"/>
          <w:sz w:val="32"/>
          <w:szCs w:val="32"/>
        </w:rPr>
        <w:t>900</w:t>
      </w:r>
      <w:r>
        <w:rPr>
          <w:rFonts w:hint="eastAsia" w:ascii="仿宋" w:hAnsi="仿宋" w:eastAsia="仿宋" w:cs="Arial"/>
          <w:sz w:val="32"/>
          <w:szCs w:val="32"/>
        </w:rPr>
        <w:t>万元，支出决算为</w:t>
      </w:r>
      <w:r>
        <w:rPr>
          <w:rFonts w:hint="eastAsia" w:ascii="仿宋" w:hAnsi="仿宋" w:eastAsia="仿宋"/>
          <w:sz w:val="32"/>
          <w:szCs w:val="32"/>
        </w:rPr>
        <w:t>900万</w:t>
      </w:r>
      <w:r>
        <w:rPr>
          <w:rFonts w:hint="eastAsia" w:ascii="仿宋" w:hAnsi="仿宋" w:eastAsia="仿宋" w:cs="Arial"/>
          <w:sz w:val="32"/>
          <w:szCs w:val="32"/>
        </w:rPr>
        <w:t>元，完成年初预算的</w:t>
      </w:r>
      <w:r>
        <w:rPr>
          <w:rFonts w:hint="eastAsia" w:ascii="仿宋" w:hAnsi="仿宋" w:eastAsia="仿宋"/>
          <w:sz w:val="32"/>
          <w:szCs w:val="32"/>
        </w:rPr>
        <w:t>100%。</w:t>
      </w:r>
    </w:p>
    <w:p>
      <w:pPr>
        <w:spacing w:line="600" w:lineRule="atLeast"/>
        <w:ind w:firstLine="640" w:firstLineChars="200"/>
        <w:jc w:val="both"/>
        <w:rPr>
          <w:rFonts w:hint="eastAsia" w:ascii="仿宋" w:hAnsi="仿宋" w:eastAsia="仿宋" w:cs="Arial"/>
          <w:sz w:val="32"/>
          <w:szCs w:val="32"/>
        </w:rPr>
      </w:pPr>
      <w:r>
        <w:rPr>
          <w:rFonts w:hint="eastAsia" w:ascii="仿宋" w:hAnsi="仿宋" w:eastAsia="仿宋" w:cs="Arial"/>
          <w:sz w:val="32"/>
          <w:szCs w:val="32"/>
        </w:rPr>
        <w:t>住房保障支出（类）住房保障支出（款）住房公积金（项）。年初预算为</w:t>
      </w:r>
      <w:r>
        <w:rPr>
          <w:rFonts w:hint="eastAsia" w:ascii="仿宋" w:hAnsi="仿宋" w:eastAsia="仿宋"/>
          <w:sz w:val="32"/>
          <w:szCs w:val="32"/>
        </w:rPr>
        <w:t>123.94</w:t>
      </w:r>
      <w:r>
        <w:rPr>
          <w:rFonts w:hint="eastAsia" w:ascii="仿宋" w:hAnsi="仿宋" w:eastAsia="仿宋" w:cs="Arial"/>
          <w:sz w:val="32"/>
          <w:szCs w:val="32"/>
        </w:rPr>
        <w:t>万元，支出决算为</w:t>
      </w:r>
      <w:r>
        <w:rPr>
          <w:rFonts w:hint="eastAsia" w:ascii="仿宋" w:hAnsi="仿宋" w:eastAsia="仿宋"/>
          <w:sz w:val="32"/>
          <w:szCs w:val="32"/>
        </w:rPr>
        <w:t>123.94万</w:t>
      </w:r>
      <w:r>
        <w:rPr>
          <w:rFonts w:hint="eastAsia" w:ascii="仿宋" w:hAnsi="仿宋" w:eastAsia="仿宋" w:cs="Arial"/>
          <w:sz w:val="32"/>
          <w:szCs w:val="32"/>
        </w:rPr>
        <w:t>元，完成年初预算的</w:t>
      </w:r>
      <w:r>
        <w:rPr>
          <w:rFonts w:hint="eastAsia" w:ascii="仿宋" w:hAnsi="仿宋" w:eastAsia="仿宋"/>
          <w:sz w:val="32"/>
          <w:szCs w:val="32"/>
        </w:rPr>
        <w:t>100%。</w:t>
      </w:r>
    </w:p>
    <w:p>
      <w:pPr>
        <w:spacing w:line="600" w:lineRule="atLeast"/>
        <w:ind w:firstLine="640" w:firstLineChars="200"/>
        <w:jc w:val="both"/>
        <w:rPr>
          <w:rFonts w:hint="eastAsia" w:ascii="仿宋" w:hAnsi="仿宋" w:eastAsia="仿宋" w:cs="Arial"/>
          <w:sz w:val="32"/>
          <w:szCs w:val="32"/>
        </w:rPr>
      </w:pPr>
      <w:r>
        <w:rPr>
          <w:rFonts w:hint="eastAsia" w:ascii="仿宋" w:hAnsi="仿宋" w:eastAsia="仿宋" w:cs="Arial"/>
          <w:sz w:val="32"/>
          <w:szCs w:val="32"/>
        </w:rPr>
        <w:t>其他支出（类）其他支出（款）其他支出（项）。年初预算为</w:t>
      </w:r>
      <w:r>
        <w:rPr>
          <w:rFonts w:hint="eastAsia" w:ascii="仿宋" w:hAnsi="仿宋" w:eastAsia="仿宋"/>
          <w:sz w:val="32"/>
          <w:szCs w:val="32"/>
        </w:rPr>
        <w:t>1</w:t>
      </w:r>
      <w:r>
        <w:rPr>
          <w:rFonts w:hint="eastAsia" w:ascii="仿宋" w:hAnsi="仿宋" w:eastAsia="仿宋"/>
          <w:sz w:val="32"/>
          <w:szCs w:val="32"/>
          <w:lang w:val="en-US" w:eastAsia="zh-CN"/>
        </w:rPr>
        <w:t>,</w:t>
      </w:r>
      <w:r>
        <w:rPr>
          <w:rFonts w:hint="eastAsia" w:ascii="仿宋" w:hAnsi="仿宋" w:eastAsia="仿宋"/>
          <w:sz w:val="32"/>
          <w:szCs w:val="32"/>
        </w:rPr>
        <w:t>928</w:t>
      </w:r>
      <w:r>
        <w:rPr>
          <w:rFonts w:hint="eastAsia" w:ascii="仿宋" w:hAnsi="仿宋" w:eastAsia="仿宋" w:cs="Arial"/>
          <w:sz w:val="32"/>
          <w:szCs w:val="32"/>
        </w:rPr>
        <w:t>万元，支出决算为</w:t>
      </w:r>
      <w:r>
        <w:rPr>
          <w:rFonts w:hint="eastAsia" w:ascii="仿宋" w:hAnsi="仿宋" w:eastAsia="仿宋"/>
          <w:sz w:val="32"/>
          <w:szCs w:val="32"/>
        </w:rPr>
        <w:t>1</w:t>
      </w:r>
      <w:r>
        <w:rPr>
          <w:rFonts w:hint="eastAsia" w:ascii="仿宋" w:hAnsi="仿宋" w:eastAsia="仿宋"/>
          <w:sz w:val="32"/>
          <w:szCs w:val="32"/>
          <w:lang w:val="en-US" w:eastAsia="zh-CN"/>
        </w:rPr>
        <w:t>,</w:t>
      </w:r>
      <w:r>
        <w:rPr>
          <w:rFonts w:hint="eastAsia" w:ascii="仿宋" w:hAnsi="仿宋" w:eastAsia="仿宋"/>
          <w:sz w:val="32"/>
          <w:szCs w:val="32"/>
        </w:rPr>
        <w:t>928万</w:t>
      </w:r>
      <w:r>
        <w:rPr>
          <w:rFonts w:hint="eastAsia" w:ascii="仿宋" w:hAnsi="仿宋" w:eastAsia="仿宋" w:cs="Arial"/>
          <w:sz w:val="32"/>
          <w:szCs w:val="32"/>
        </w:rPr>
        <w:t>元，完成年初预算的</w:t>
      </w:r>
      <w:r>
        <w:rPr>
          <w:rFonts w:hint="eastAsia" w:ascii="仿宋" w:hAnsi="仿宋" w:eastAsia="仿宋"/>
          <w:sz w:val="32"/>
          <w:szCs w:val="32"/>
        </w:rPr>
        <w:t>100%</w:t>
      </w:r>
      <w:r>
        <w:rPr>
          <w:rFonts w:hint="eastAsia" w:ascii="仿宋" w:hAnsi="仿宋" w:eastAsia="仿宋" w:cs="Arial"/>
          <w:sz w:val="32"/>
          <w:szCs w:val="32"/>
        </w:rPr>
        <w:t>。</w:t>
      </w:r>
    </w:p>
    <w:p>
      <w:pPr>
        <w:spacing w:line="600" w:lineRule="atLeast"/>
        <w:ind w:firstLine="640"/>
        <w:jc w:val="both"/>
        <w:rPr>
          <w:rFonts w:hint="eastAsia"/>
        </w:rPr>
      </w:pPr>
      <w:r>
        <w:rPr>
          <w:rStyle w:val="27"/>
          <w:rFonts w:hint="eastAsia" w:ascii="楷体" w:hAnsi="楷体" w:eastAsia="楷体" w:cs="Arial"/>
          <w:sz w:val="32"/>
          <w:szCs w:val="32"/>
        </w:rPr>
        <w:t>（六）一般公共预算财政拨款基本支出决算情况说明</w:t>
      </w:r>
    </w:p>
    <w:p>
      <w:pPr>
        <w:spacing w:line="600" w:lineRule="atLeast"/>
        <w:ind w:firstLine="640"/>
        <w:jc w:val="both"/>
        <w:rPr>
          <w:rFonts w:hint="eastAsia"/>
        </w:rPr>
      </w:pPr>
      <w:r>
        <w:rPr>
          <w:rFonts w:hint="eastAsia" w:ascii="仿宋" w:hAnsi="仿宋" w:eastAsia="仿宋"/>
          <w:sz w:val="32"/>
          <w:szCs w:val="32"/>
        </w:rPr>
        <w:t>2020年度一般公共预算财政拨款基本支出2,005.59万元，其中：</w:t>
      </w:r>
    </w:p>
    <w:p>
      <w:pPr>
        <w:spacing w:line="600" w:lineRule="atLeast"/>
        <w:ind w:left="0" w:firstLine="640"/>
        <w:jc w:val="both"/>
      </w:pPr>
      <w:r>
        <w:rPr>
          <w:rFonts w:hint="eastAsia" w:ascii="仿宋" w:hAnsi="仿宋" w:eastAsia="仿宋" w:cs="Arial"/>
          <w:sz w:val="32"/>
          <w:szCs w:val="32"/>
          <w:highlight w:val="none"/>
        </w:rPr>
        <w:t>人员经费1,</w:t>
      </w:r>
      <w:r>
        <w:rPr>
          <w:rFonts w:hint="eastAsia" w:ascii="仿宋" w:hAnsi="仿宋" w:eastAsia="仿宋"/>
          <w:sz w:val="32"/>
          <w:szCs w:val="32"/>
          <w:highlight w:val="none"/>
        </w:rPr>
        <w:t>814.13万元，主要包括：基本工资、津贴补贴、奖金、伙食补助、绩效工资、</w:t>
      </w:r>
      <w:r>
        <w:rPr>
          <w:rFonts w:hint="eastAsia" w:ascii="仿宋" w:hAnsi="仿宋" w:eastAsia="仿宋" w:cs="Arial"/>
          <w:sz w:val="32"/>
          <w:szCs w:val="32"/>
          <w:highlight w:val="none"/>
          <w:lang w:eastAsia="zh-CN"/>
        </w:rPr>
        <w:t>机关事业单位基本养老保险、职业年金缴费、职工基本医疗保险、</w:t>
      </w:r>
      <w:r>
        <w:rPr>
          <w:rFonts w:hint="eastAsia" w:ascii="仿宋" w:hAnsi="仿宋" w:eastAsia="仿宋" w:cs="Arial"/>
          <w:sz w:val="32"/>
          <w:szCs w:val="32"/>
          <w:lang w:eastAsia="zh-CN"/>
        </w:rPr>
        <w:t>公务员医疗补助、其他社会保障缴费、住房公积金、其他工资福利支出、退休费。</w:t>
      </w:r>
    </w:p>
    <w:p>
      <w:pPr>
        <w:spacing w:line="600" w:lineRule="atLeast"/>
        <w:ind w:firstLine="640"/>
        <w:jc w:val="both"/>
        <w:rPr>
          <w:rFonts w:hint="eastAsia"/>
          <w:highlight w:val="none"/>
        </w:rPr>
      </w:pPr>
      <w:r>
        <w:rPr>
          <w:rFonts w:hint="eastAsia" w:ascii="仿宋" w:hAnsi="仿宋" w:eastAsia="仿宋" w:cs="Arial"/>
          <w:sz w:val="32"/>
          <w:szCs w:val="32"/>
          <w:highlight w:val="none"/>
        </w:rPr>
        <w:t>公用经费191.46万元，主要包括：办公费、印刷费、</w:t>
      </w:r>
      <w:r>
        <w:rPr>
          <w:rFonts w:hint="eastAsia" w:ascii="仿宋" w:hAnsi="仿宋" w:eastAsia="仿宋" w:cs="Arial"/>
          <w:sz w:val="32"/>
          <w:szCs w:val="32"/>
          <w:highlight w:val="none"/>
          <w:lang w:eastAsia="zh-CN"/>
        </w:rPr>
        <w:t>手续费、电费、邮电费、差旅费、维护费、租赁费、培训费、公务接待费、</w:t>
      </w:r>
      <w:r>
        <w:rPr>
          <w:rFonts w:hint="eastAsia" w:ascii="仿宋" w:hAnsi="仿宋" w:eastAsia="仿宋" w:cs="Arial"/>
          <w:sz w:val="32"/>
          <w:szCs w:val="32"/>
          <w:highlight w:val="none"/>
        </w:rPr>
        <w:t>劳务费、</w:t>
      </w:r>
      <w:r>
        <w:rPr>
          <w:rFonts w:hint="eastAsia" w:ascii="仿宋" w:hAnsi="仿宋" w:eastAsia="仿宋" w:cs="Arial"/>
          <w:sz w:val="32"/>
          <w:szCs w:val="32"/>
          <w:highlight w:val="none"/>
          <w:lang w:eastAsia="zh-CN"/>
        </w:rPr>
        <w:t>工会经费、公务用车运行维护费、其他交通费用、办公设备购置</w:t>
      </w:r>
      <w:r>
        <w:rPr>
          <w:rFonts w:hint="eastAsia" w:ascii="仿宋" w:hAnsi="仿宋" w:eastAsia="仿宋" w:cs="Arial"/>
          <w:sz w:val="32"/>
          <w:szCs w:val="32"/>
          <w:highlight w:val="none"/>
        </w:rPr>
        <w:t>等。</w:t>
      </w:r>
    </w:p>
    <w:p>
      <w:pPr>
        <w:numPr>
          <w:ilvl w:val="0"/>
          <w:numId w:val="0"/>
        </w:numPr>
        <w:spacing w:line="600" w:lineRule="atLeast"/>
        <w:ind w:firstLine="643" w:firstLineChars="200"/>
        <w:jc w:val="both"/>
        <w:rPr>
          <w:rStyle w:val="27"/>
          <w:rFonts w:hint="eastAsia" w:ascii="楷体" w:hAnsi="楷体" w:eastAsia="楷体" w:cs="Arial"/>
          <w:sz w:val="32"/>
          <w:szCs w:val="32"/>
        </w:rPr>
      </w:pPr>
      <w:r>
        <w:rPr>
          <w:rStyle w:val="27"/>
          <w:rFonts w:hint="eastAsia" w:ascii="楷体" w:hAnsi="楷体" w:eastAsia="楷体" w:cs="Arial"/>
          <w:sz w:val="32"/>
          <w:szCs w:val="32"/>
          <w:lang w:eastAsia="zh-CN"/>
        </w:rPr>
        <w:t>（七）</w:t>
      </w:r>
      <w:r>
        <w:rPr>
          <w:rStyle w:val="27"/>
          <w:rFonts w:hint="eastAsia" w:ascii="楷体" w:hAnsi="楷体" w:eastAsia="楷体" w:cs="Arial"/>
          <w:sz w:val="32"/>
          <w:szCs w:val="32"/>
        </w:rPr>
        <w:t>政府性基金预算财政拨款支出决算总体情况</w:t>
      </w:r>
    </w:p>
    <w:p>
      <w:pPr>
        <w:numPr>
          <w:ilvl w:val="0"/>
          <w:numId w:val="0"/>
        </w:numPr>
        <w:spacing w:line="600" w:lineRule="atLeast"/>
        <w:ind w:firstLine="643" w:firstLineChars="200"/>
        <w:jc w:val="both"/>
        <w:rPr>
          <w:rFonts w:hint="eastAsia"/>
        </w:rPr>
      </w:pPr>
      <w:r>
        <w:rPr>
          <w:rStyle w:val="27"/>
          <w:rFonts w:hint="eastAsia" w:ascii="仿宋" w:hAnsi="仿宋" w:eastAsia="仿宋"/>
          <w:sz w:val="32"/>
          <w:szCs w:val="32"/>
        </w:rPr>
        <w:t>1.政府性基金预算财政拨款支出决算总体情况。</w:t>
      </w:r>
    </w:p>
    <w:p>
      <w:pPr>
        <w:spacing w:line="600" w:lineRule="atLeast"/>
        <w:ind w:firstLine="640"/>
        <w:jc w:val="both"/>
        <w:rPr>
          <w:rFonts w:hint="eastAsia"/>
        </w:rPr>
      </w:pPr>
      <w:r>
        <w:rPr>
          <w:rFonts w:hint="eastAsia" w:ascii="仿宋" w:hAnsi="仿宋" w:eastAsia="仿宋"/>
          <w:sz w:val="32"/>
          <w:szCs w:val="32"/>
        </w:rPr>
        <w:t>2020年度政府性基金预算财政拨款支出217,729.08万元，占本年支出合计的89.83%。与2019年相比，政府性基金预算财政拨款支出增加204,583.91万元，增长1,556.34%。主要原因是：当年土地出让金返还较上年增加。</w:t>
      </w:r>
    </w:p>
    <w:p>
      <w:pPr>
        <w:spacing w:line="600" w:lineRule="atLeast"/>
        <w:ind w:firstLine="640"/>
        <w:jc w:val="both"/>
        <w:rPr>
          <w:rFonts w:hint="eastAsia"/>
        </w:rPr>
      </w:pPr>
      <w:r>
        <w:rPr>
          <w:rStyle w:val="27"/>
          <w:rFonts w:hint="eastAsia" w:ascii="仿宋" w:hAnsi="仿宋" w:eastAsia="仿宋"/>
          <w:sz w:val="32"/>
          <w:szCs w:val="32"/>
        </w:rPr>
        <w:t>2.政府性基金预算财政拨款支出决算结构情况。</w:t>
      </w:r>
    </w:p>
    <w:p>
      <w:pPr>
        <w:spacing w:line="600" w:lineRule="atLeast"/>
        <w:ind w:firstLine="640"/>
        <w:jc w:val="both"/>
        <w:rPr>
          <w:rFonts w:hint="eastAsia"/>
        </w:rPr>
      </w:pPr>
      <w:r>
        <w:rPr>
          <w:rFonts w:hint="eastAsia" w:ascii="仿宋" w:hAnsi="仿宋" w:eastAsia="仿宋"/>
          <w:sz w:val="32"/>
          <w:szCs w:val="32"/>
        </w:rPr>
        <w:t>2020年度政府性基金预算财政拨款支出217,729.08万元，主要用于以下方面：科学技术（类）支出0万元,占0%；文化旅游体育与传媒（类）支出0万元,占0%；社会保障和就业（类）支出0万元,占0%；节能环保（类）支出0万元,占0%；城乡社区（类）支出202,229.08万元,占92.88%；农林水（类）支出0万元,占0%；交通运输（类）支出0万元,占0%；资源勘探信息等（类）支出0万元,占0%；金融（类）支出0万元,占0%；其他（类）支出15,500.00万元,占7.12%；债务付息（类）支出0万元,占0%；抗疫特别国债安排（类）支出0万元,占0%。</w:t>
      </w:r>
    </w:p>
    <w:p>
      <w:pPr>
        <w:spacing w:line="600" w:lineRule="atLeast"/>
        <w:ind w:firstLine="640"/>
        <w:jc w:val="both"/>
        <w:rPr>
          <w:rFonts w:hint="eastAsia"/>
        </w:rPr>
      </w:pPr>
      <w:r>
        <w:rPr>
          <w:rStyle w:val="27"/>
          <w:rFonts w:hint="eastAsia" w:ascii="仿宋" w:hAnsi="仿宋" w:eastAsia="仿宋"/>
          <w:sz w:val="32"/>
          <w:szCs w:val="32"/>
        </w:rPr>
        <w:t>3.政府性基金预算财政拨款支出决算具体情况。</w:t>
      </w:r>
    </w:p>
    <w:p>
      <w:pPr>
        <w:spacing w:line="600" w:lineRule="atLeast"/>
        <w:ind w:firstLine="640"/>
        <w:jc w:val="both"/>
        <w:rPr>
          <w:rFonts w:hint="eastAsia"/>
        </w:rPr>
      </w:pPr>
      <w:r>
        <w:rPr>
          <w:rFonts w:hint="eastAsia" w:ascii="仿宋" w:hAnsi="仿宋" w:eastAsia="仿宋"/>
          <w:sz w:val="32"/>
          <w:szCs w:val="32"/>
        </w:rPr>
        <w:t>2020年度政府性基金预算财政拨款支出年初预算为217,729.08</w:t>
      </w:r>
      <w:r>
        <w:rPr>
          <w:rFonts w:hint="eastAsia" w:ascii="仿宋" w:hAnsi="仿宋" w:eastAsia="仿宋" w:cs="Arial"/>
          <w:sz w:val="32"/>
          <w:szCs w:val="32"/>
        </w:rPr>
        <w:t>万元，支出决算为217,729.08万元,完成年初预算的</w:t>
      </w:r>
      <w:r>
        <w:rPr>
          <w:rFonts w:hint="eastAsia" w:ascii="仿宋" w:hAnsi="仿宋" w:eastAsia="仿宋"/>
          <w:sz w:val="32"/>
          <w:szCs w:val="32"/>
        </w:rPr>
        <w:t>100%。其中：</w:t>
      </w:r>
    </w:p>
    <w:p>
      <w:pPr>
        <w:spacing w:line="600" w:lineRule="atLeast"/>
        <w:ind w:firstLine="640"/>
        <w:jc w:val="both"/>
        <w:rPr>
          <w:rFonts w:hint="eastAsia"/>
        </w:rPr>
      </w:pPr>
      <w:r>
        <w:rPr>
          <w:rFonts w:hint="eastAsia" w:ascii="仿宋" w:hAnsi="仿宋" w:eastAsia="仿宋" w:cs="Arial"/>
          <w:sz w:val="32"/>
          <w:szCs w:val="32"/>
        </w:rPr>
        <w:t>城乡社区支出（类）国有土地使用权出让收入安排的支出（款）征地和拆迁补偿支出（项）。年初预算为</w:t>
      </w:r>
      <w:r>
        <w:rPr>
          <w:rFonts w:hint="eastAsia" w:ascii="仿宋" w:hAnsi="仿宋" w:eastAsia="仿宋"/>
          <w:sz w:val="32"/>
          <w:szCs w:val="32"/>
        </w:rPr>
        <w:t>192</w:t>
      </w:r>
      <w:r>
        <w:rPr>
          <w:rFonts w:hint="eastAsia" w:ascii="仿宋" w:hAnsi="仿宋" w:eastAsia="仿宋"/>
          <w:sz w:val="32"/>
          <w:szCs w:val="32"/>
          <w:lang w:val="en-US" w:eastAsia="zh-CN"/>
        </w:rPr>
        <w:t>,</w:t>
      </w:r>
      <w:r>
        <w:rPr>
          <w:rFonts w:hint="eastAsia" w:ascii="仿宋" w:hAnsi="仿宋" w:eastAsia="仿宋"/>
          <w:sz w:val="32"/>
          <w:szCs w:val="32"/>
        </w:rPr>
        <w:t>983.65</w:t>
      </w:r>
      <w:r>
        <w:rPr>
          <w:rFonts w:hint="eastAsia" w:ascii="仿宋" w:hAnsi="仿宋" w:eastAsia="仿宋" w:cs="Arial"/>
          <w:sz w:val="32"/>
          <w:szCs w:val="32"/>
        </w:rPr>
        <w:t>万元，支出决算为</w:t>
      </w:r>
      <w:r>
        <w:rPr>
          <w:rFonts w:hint="eastAsia" w:ascii="仿宋" w:hAnsi="仿宋" w:eastAsia="仿宋"/>
          <w:sz w:val="32"/>
          <w:szCs w:val="32"/>
        </w:rPr>
        <w:t>192</w:t>
      </w:r>
      <w:r>
        <w:rPr>
          <w:rFonts w:hint="eastAsia" w:ascii="仿宋" w:hAnsi="仿宋" w:eastAsia="仿宋"/>
          <w:sz w:val="32"/>
          <w:szCs w:val="32"/>
          <w:lang w:val="en-US" w:eastAsia="zh-CN"/>
        </w:rPr>
        <w:t>,</w:t>
      </w:r>
      <w:r>
        <w:rPr>
          <w:rFonts w:hint="eastAsia" w:ascii="仿宋" w:hAnsi="仿宋" w:eastAsia="仿宋"/>
          <w:sz w:val="32"/>
          <w:szCs w:val="32"/>
        </w:rPr>
        <w:t>983.65</w:t>
      </w:r>
      <w:r>
        <w:rPr>
          <w:rFonts w:hint="eastAsia" w:ascii="仿宋" w:hAnsi="仿宋" w:eastAsia="仿宋" w:cs="Arial"/>
          <w:sz w:val="32"/>
          <w:szCs w:val="32"/>
        </w:rPr>
        <w:t>万元，完成年初预算的</w:t>
      </w:r>
      <w:r>
        <w:rPr>
          <w:rFonts w:hint="eastAsia" w:ascii="仿宋" w:hAnsi="仿宋" w:eastAsia="仿宋"/>
          <w:sz w:val="32"/>
          <w:szCs w:val="32"/>
        </w:rPr>
        <w:t>100%。</w:t>
      </w:r>
    </w:p>
    <w:p>
      <w:pPr>
        <w:spacing w:line="600" w:lineRule="atLeast"/>
        <w:ind w:firstLine="640"/>
        <w:jc w:val="both"/>
        <w:rPr>
          <w:rFonts w:hint="eastAsia"/>
        </w:rPr>
      </w:pPr>
      <w:r>
        <w:rPr>
          <w:rFonts w:hint="eastAsia" w:ascii="仿宋" w:hAnsi="仿宋" w:eastAsia="仿宋" w:cs="Arial"/>
          <w:sz w:val="32"/>
          <w:szCs w:val="32"/>
        </w:rPr>
        <w:t>城乡社区支出（类）国有土地使用权出让收入安排的支出（款）其他国有土地使用权出让收入安排的支出（项）。年初预算为</w:t>
      </w:r>
      <w:r>
        <w:rPr>
          <w:rFonts w:hint="eastAsia" w:ascii="仿宋" w:hAnsi="仿宋" w:eastAsia="仿宋"/>
          <w:sz w:val="32"/>
          <w:szCs w:val="32"/>
        </w:rPr>
        <w:t>8</w:t>
      </w:r>
      <w:r>
        <w:rPr>
          <w:rFonts w:hint="eastAsia" w:ascii="仿宋" w:hAnsi="仿宋" w:eastAsia="仿宋"/>
          <w:sz w:val="32"/>
          <w:szCs w:val="32"/>
          <w:lang w:val="en-US" w:eastAsia="zh-CN"/>
        </w:rPr>
        <w:t>,</w:t>
      </w:r>
      <w:r>
        <w:rPr>
          <w:rFonts w:hint="eastAsia" w:ascii="仿宋" w:hAnsi="仿宋" w:eastAsia="仿宋"/>
          <w:sz w:val="32"/>
          <w:szCs w:val="32"/>
        </w:rPr>
        <w:t>500</w:t>
      </w:r>
      <w:r>
        <w:rPr>
          <w:rFonts w:hint="eastAsia" w:ascii="仿宋" w:hAnsi="仿宋" w:eastAsia="仿宋" w:cs="Arial"/>
          <w:sz w:val="32"/>
          <w:szCs w:val="32"/>
        </w:rPr>
        <w:t>万元，支出决算为</w:t>
      </w:r>
      <w:r>
        <w:rPr>
          <w:rFonts w:hint="eastAsia" w:ascii="仿宋" w:hAnsi="仿宋" w:eastAsia="仿宋"/>
          <w:sz w:val="32"/>
          <w:szCs w:val="32"/>
        </w:rPr>
        <w:t>8</w:t>
      </w:r>
      <w:r>
        <w:rPr>
          <w:rFonts w:hint="eastAsia" w:ascii="仿宋" w:hAnsi="仿宋" w:eastAsia="仿宋"/>
          <w:sz w:val="32"/>
          <w:szCs w:val="32"/>
          <w:lang w:val="en-US" w:eastAsia="zh-CN"/>
        </w:rPr>
        <w:t>,</w:t>
      </w:r>
      <w:r>
        <w:rPr>
          <w:rFonts w:hint="eastAsia" w:ascii="仿宋" w:hAnsi="仿宋" w:eastAsia="仿宋"/>
          <w:sz w:val="32"/>
          <w:szCs w:val="32"/>
        </w:rPr>
        <w:t>500</w:t>
      </w:r>
      <w:r>
        <w:rPr>
          <w:rFonts w:hint="eastAsia" w:ascii="仿宋" w:hAnsi="仿宋" w:eastAsia="仿宋" w:cs="Arial"/>
          <w:sz w:val="32"/>
          <w:szCs w:val="32"/>
        </w:rPr>
        <w:t>万元，完成年初预算的</w:t>
      </w:r>
      <w:r>
        <w:rPr>
          <w:rFonts w:hint="eastAsia" w:ascii="仿宋" w:hAnsi="仿宋" w:eastAsia="仿宋"/>
          <w:sz w:val="32"/>
          <w:szCs w:val="32"/>
        </w:rPr>
        <w:t>100%。</w:t>
      </w:r>
    </w:p>
    <w:p>
      <w:pPr>
        <w:spacing w:line="600" w:lineRule="atLeast"/>
        <w:ind w:firstLine="640"/>
        <w:jc w:val="both"/>
        <w:rPr>
          <w:rFonts w:hint="eastAsia"/>
        </w:rPr>
      </w:pPr>
      <w:r>
        <w:rPr>
          <w:rFonts w:hint="eastAsia" w:ascii="仿宋" w:hAnsi="仿宋" w:eastAsia="仿宋" w:cs="Arial"/>
          <w:sz w:val="32"/>
          <w:szCs w:val="32"/>
        </w:rPr>
        <w:t>城乡社区支出（类）城市基础设施配套费安排的支出（款）城市公共设施（项）。年初预算为</w:t>
      </w:r>
      <w:r>
        <w:rPr>
          <w:rFonts w:hint="eastAsia" w:ascii="仿宋" w:hAnsi="仿宋" w:eastAsia="仿宋"/>
          <w:sz w:val="32"/>
          <w:szCs w:val="32"/>
        </w:rPr>
        <w:t>745.42</w:t>
      </w:r>
      <w:r>
        <w:rPr>
          <w:rFonts w:hint="eastAsia" w:ascii="仿宋" w:hAnsi="仿宋" w:eastAsia="仿宋" w:cs="Arial"/>
          <w:sz w:val="32"/>
          <w:szCs w:val="32"/>
        </w:rPr>
        <w:t>万元，支出决算为</w:t>
      </w:r>
      <w:r>
        <w:rPr>
          <w:rFonts w:hint="eastAsia" w:ascii="仿宋" w:hAnsi="仿宋" w:eastAsia="仿宋"/>
          <w:sz w:val="32"/>
          <w:szCs w:val="32"/>
        </w:rPr>
        <w:t>745.42</w:t>
      </w:r>
      <w:r>
        <w:rPr>
          <w:rFonts w:hint="eastAsia" w:ascii="仿宋" w:hAnsi="仿宋" w:eastAsia="仿宋" w:cs="Arial"/>
          <w:sz w:val="32"/>
          <w:szCs w:val="32"/>
        </w:rPr>
        <w:t>万元，完成年初预算的</w:t>
      </w:r>
      <w:r>
        <w:rPr>
          <w:rFonts w:hint="eastAsia" w:ascii="仿宋" w:hAnsi="仿宋" w:eastAsia="仿宋"/>
          <w:sz w:val="32"/>
          <w:szCs w:val="32"/>
        </w:rPr>
        <w:t>100%。</w:t>
      </w:r>
    </w:p>
    <w:p>
      <w:pPr>
        <w:spacing w:line="600" w:lineRule="atLeast"/>
        <w:ind w:firstLine="640"/>
        <w:jc w:val="both"/>
        <w:rPr>
          <w:rFonts w:hint="eastAsia"/>
        </w:rPr>
      </w:pPr>
      <w:r>
        <w:rPr>
          <w:rFonts w:hint="eastAsia" w:ascii="仿宋" w:hAnsi="仿宋" w:eastAsia="仿宋" w:cs="Arial"/>
          <w:sz w:val="32"/>
          <w:szCs w:val="32"/>
        </w:rPr>
        <w:t>其他支出（类）其他政府性基金及对应专项债券收入安排的支出（款）其他政府性基金安排的支出（项）。年初预算为</w:t>
      </w:r>
      <w:r>
        <w:rPr>
          <w:rFonts w:hint="eastAsia" w:ascii="仿宋" w:hAnsi="仿宋" w:eastAsia="仿宋"/>
          <w:sz w:val="32"/>
          <w:szCs w:val="32"/>
        </w:rPr>
        <w:t>15</w:t>
      </w:r>
      <w:r>
        <w:rPr>
          <w:rFonts w:hint="eastAsia" w:ascii="仿宋" w:hAnsi="仿宋" w:eastAsia="仿宋"/>
          <w:sz w:val="32"/>
          <w:szCs w:val="32"/>
          <w:lang w:val="en-US" w:eastAsia="zh-CN"/>
        </w:rPr>
        <w:t>,</w:t>
      </w:r>
      <w:r>
        <w:rPr>
          <w:rFonts w:hint="eastAsia" w:ascii="仿宋" w:hAnsi="仿宋" w:eastAsia="仿宋"/>
          <w:sz w:val="32"/>
          <w:szCs w:val="32"/>
        </w:rPr>
        <w:t>500</w:t>
      </w:r>
      <w:r>
        <w:rPr>
          <w:rFonts w:hint="eastAsia" w:ascii="仿宋" w:hAnsi="仿宋" w:eastAsia="仿宋" w:cs="Arial"/>
          <w:sz w:val="32"/>
          <w:szCs w:val="32"/>
        </w:rPr>
        <w:t>万元，支出决算为</w:t>
      </w:r>
      <w:r>
        <w:rPr>
          <w:rFonts w:hint="eastAsia" w:ascii="仿宋" w:hAnsi="仿宋" w:eastAsia="仿宋"/>
          <w:sz w:val="32"/>
          <w:szCs w:val="32"/>
        </w:rPr>
        <w:t>15</w:t>
      </w:r>
      <w:r>
        <w:rPr>
          <w:rFonts w:hint="eastAsia" w:ascii="仿宋" w:hAnsi="仿宋" w:eastAsia="仿宋"/>
          <w:sz w:val="32"/>
          <w:szCs w:val="32"/>
          <w:lang w:val="en-US" w:eastAsia="zh-CN"/>
        </w:rPr>
        <w:t>,</w:t>
      </w:r>
      <w:r>
        <w:rPr>
          <w:rFonts w:hint="eastAsia" w:ascii="仿宋" w:hAnsi="仿宋" w:eastAsia="仿宋"/>
          <w:sz w:val="32"/>
          <w:szCs w:val="32"/>
        </w:rPr>
        <w:t>500</w:t>
      </w:r>
      <w:r>
        <w:rPr>
          <w:rFonts w:hint="eastAsia" w:ascii="仿宋" w:hAnsi="仿宋" w:eastAsia="仿宋" w:cs="Arial"/>
          <w:sz w:val="32"/>
          <w:szCs w:val="32"/>
        </w:rPr>
        <w:t>万元，完成年初预算的</w:t>
      </w:r>
      <w:r>
        <w:rPr>
          <w:rFonts w:hint="eastAsia" w:ascii="仿宋" w:hAnsi="仿宋" w:eastAsia="仿宋"/>
          <w:sz w:val="32"/>
          <w:szCs w:val="32"/>
        </w:rPr>
        <w:t>100%。</w:t>
      </w:r>
    </w:p>
    <w:p>
      <w:pPr>
        <w:numPr>
          <w:ilvl w:val="0"/>
          <w:numId w:val="0"/>
        </w:numPr>
        <w:spacing w:line="600" w:lineRule="atLeast"/>
        <w:ind w:left="640" w:leftChars="0"/>
        <w:jc w:val="both"/>
        <w:rPr>
          <w:rStyle w:val="27"/>
          <w:rFonts w:hint="eastAsia" w:ascii="楷体" w:hAnsi="楷体" w:eastAsia="楷体" w:cs="Arial"/>
          <w:sz w:val="32"/>
          <w:szCs w:val="32"/>
        </w:rPr>
      </w:pPr>
      <w:r>
        <w:rPr>
          <w:rStyle w:val="27"/>
          <w:rFonts w:hint="default" w:ascii="楷体" w:hAnsi="楷体" w:eastAsia="楷体" w:cs="Arial"/>
          <w:sz w:val="32"/>
          <w:szCs w:val="32"/>
          <w:lang w:val="en-US"/>
        </w:rPr>
        <w:t>(</w:t>
      </w:r>
      <w:r>
        <w:rPr>
          <w:rStyle w:val="27"/>
          <w:rFonts w:hint="eastAsia" w:ascii="楷体" w:hAnsi="楷体" w:eastAsia="楷体" w:cs="Arial"/>
          <w:sz w:val="32"/>
          <w:szCs w:val="32"/>
          <w:lang w:val="en-US" w:eastAsia="zh-CN"/>
        </w:rPr>
        <w:t>八</w:t>
      </w:r>
      <w:r>
        <w:rPr>
          <w:rStyle w:val="27"/>
          <w:rFonts w:hint="default" w:ascii="楷体" w:hAnsi="楷体" w:eastAsia="楷体" w:cs="Arial"/>
          <w:sz w:val="32"/>
          <w:szCs w:val="32"/>
          <w:lang w:val="en-US"/>
        </w:rPr>
        <w:t>)</w:t>
      </w:r>
      <w:r>
        <w:rPr>
          <w:rStyle w:val="27"/>
          <w:rFonts w:hint="eastAsia" w:ascii="楷体" w:hAnsi="楷体" w:eastAsia="楷体" w:cs="Arial"/>
          <w:sz w:val="32"/>
          <w:szCs w:val="32"/>
        </w:rPr>
        <w:t>国有资本经营预算财政拨款支出决算总体情况</w:t>
      </w:r>
    </w:p>
    <w:p>
      <w:pPr>
        <w:numPr>
          <w:ilvl w:val="0"/>
          <w:numId w:val="0"/>
        </w:numPr>
        <w:spacing w:line="600" w:lineRule="atLeast"/>
        <w:ind w:left="640" w:leftChars="0"/>
        <w:jc w:val="both"/>
        <w:rPr>
          <w:rFonts w:hint="eastAsia"/>
        </w:rPr>
      </w:pPr>
      <w:r>
        <w:rPr>
          <w:rStyle w:val="27"/>
          <w:rFonts w:hint="eastAsia" w:ascii="仿宋" w:hAnsi="仿宋" w:eastAsia="仿宋"/>
          <w:sz w:val="32"/>
          <w:szCs w:val="32"/>
        </w:rPr>
        <w:t>1.国有资本经营预算财政拨款支出决算总体情况。</w:t>
      </w:r>
    </w:p>
    <w:p>
      <w:pPr>
        <w:spacing w:line="600" w:lineRule="atLeast"/>
        <w:ind w:firstLine="640"/>
        <w:jc w:val="both"/>
        <w:rPr>
          <w:rFonts w:hint="eastAsia"/>
        </w:rPr>
      </w:pPr>
      <w:r>
        <w:rPr>
          <w:rFonts w:hint="eastAsia" w:ascii="仿宋" w:hAnsi="仿宋" w:eastAsia="仿宋"/>
          <w:sz w:val="32"/>
          <w:szCs w:val="32"/>
        </w:rPr>
        <w:t>2020年度国有资本经营预算财政拨款支出0万元，占本年支出合计的0%。</w:t>
      </w:r>
    </w:p>
    <w:p>
      <w:pPr>
        <w:spacing w:line="600" w:lineRule="atLeast"/>
        <w:ind w:firstLine="640"/>
        <w:jc w:val="both"/>
        <w:rPr>
          <w:rFonts w:hint="eastAsia"/>
        </w:rPr>
      </w:pPr>
      <w:r>
        <w:rPr>
          <w:rStyle w:val="27"/>
          <w:rFonts w:hint="eastAsia" w:ascii="仿宋" w:hAnsi="仿宋" w:eastAsia="仿宋"/>
          <w:sz w:val="32"/>
          <w:szCs w:val="32"/>
        </w:rPr>
        <w:t>2.国有资本经营预算财政拨款支出决算结构情况。</w:t>
      </w:r>
    </w:p>
    <w:p>
      <w:pPr>
        <w:spacing w:line="600" w:lineRule="atLeast"/>
        <w:ind w:firstLine="640"/>
        <w:jc w:val="both"/>
        <w:rPr>
          <w:rFonts w:hint="eastAsia"/>
        </w:rPr>
      </w:pPr>
      <w:r>
        <w:rPr>
          <w:rFonts w:hint="eastAsia" w:ascii="仿宋" w:hAnsi="仿宋" w:eastAsia="仿宋"/>
          <w:sz w:val="32"/>
          <w:szCs w:val="32"/>
        </w:rPr>
        <w:t>2020年度国有资本经营预算财政拨款支出0万元，主要用于以下方面：国有资本经营（类）支出0万元,占0%。</w:t>
      </w:r>
    </w:p>
    <w:p>
      <w:pPr>
        <w:spacing w:line="600" w:lineRule="atLeast"/>
        <w:ind w:firstLine="640"/>
        <w:jc w:val="both"/>
        <w:rPr>
          <w:rFonts w:hint="eastAsia"/>
        </w:rPr>
      </w:pPr>
      <w:r>
        <w:rPr>
          <w:rStyle w:val="27"/>
          <w:rFonts w:hint="eastAsia" w:ascii="仿宋" w:hAnsi="仿宋" w:eastAsia="仿宋"/>
          <w:sz w:val="32"/>
          <w:szCs w:val="32"/>
        </w:rPr>
        <w:t>3.国有资本经营预算财政拨款支出决算具体情况。</w:t>
      </w:r>
    </w:p>
    <w:p>
      <w:pPr>
        <w:spacing w:line="600" w:lineRule="atLeast"/>
        <w:ind w:left="0" w:firstLine="640"/>
        <w:jc w:val="both"/>
      </w:pPr>
      <w:r>
        <w:rPr>
          <w:rFonts w:hint="eastAsia" w:ascii="仿宋" w:hAnsi="仿宋" w:eastAsia="仿宋"/>
          <w:sz w:val="32"/>
          <w:szCs w:val="32"/>
        </w:rPr>
        <w:t>2020年度国有资本经营预算财政拨款支出年初预算为0万元，支出决算为0万元。</w:t>
      </w:r>
      <w:r>
        <w:rPr>
          <w:rFonts w:hint="eastAsia" w:ascii="仿宋" w:hAnsi="仿宋" w:eastAsia="仿宋" w:cs="Arial"/>
          <w:sz w:val="32"/>
          <w:szCs w:val="32"/>
          <w:lang w:eastAsia="zh-CN"/>
        </w:rPr>
        <w:t>主要原因是本部门</w:t>
      </w:r>
      <w:r>
        <w:rPr>
          <w:rFonts w:hint="eastAsia" w:ascii="仿宋" w:hAnsi="仿宋" w:eastAsia="仿宋" w:cs="Arial"/>
          <w:sz w:val="32"/>
          <w:szCs w:val="32"/>
          <w:lang w:val="en-US"/>
        </w:rPr>
        <w:t>2020</w:t>
      </w:r>
      <w:r>
        <w:rPr>
          <w:rFonts w:hint="eastAsia" w:ascii="仿宋" w:hAnsi="仿宋" w:eastAsia="仿宋" w:cs="Arial"/>
          <w:sz w:val="32"/>
          <w:szCs w:val="32"/>
          <w:lang w:eastAsia="zh-CN"/>
        </w:rPr>
        <w:t>年度无国有资本经营预算财政拨款收支安排，故无相关数据。</w:t>
      </w:r>
    </w:p>
    <w:p>
      <w:pPr>
        <w:spacing w:line="600" w:lineRule="atLeast"/>
        <w:ind w:firstLine="640"/>
        <w:jc w:val="both"/>
        <w:rPr>
          <w:rFonts w:hint="eastAsia"/>
        </w:rPr>
      </w:pPr>
      <w:r>
        <w:rPr>
          <w:rStyle w:val="27"/>
          <w:rFonts w:hint="eastAsia" w:ascii="楷体" w:hAnsi="楷体" w:eastAsia="楷体" w:cs="Arial"/>
          <w:sz w:val="32"/>
          <w:szCs w:val="32"/>
        </w:rPr>
        <w:t>（九）一般公共预算财政拨款“三公”经费支出决算情况说明</w:t>
      </w:r>
    </w:p>
    <w:p>
      <w:pPr>
        <w:spacing w:line="600" w:lineRule="atLeast"/>
        <w:ind w:firstLine="640"/>
        <w:jc w:val="both"/>
        <w:rPr>
          <w:rFonts w:hint="eastAsia"/>
        </w:rPr>
      </w:pPr>
      <w:r>
        <w:rPr>
          <w:rStyle w:val="27"/>
          <w:rFonts w:hint="eastAsia" w:ascii="仿宋" w:hAnsi="仿宋" w:eastAsia="仿宋"/>
          <w:sz w:val="32"/>
          <w:szCs w:val="32"/>
        </w:rPr>
        <w:t xml:space="preserve">1.“三公”经费一般公共预算财政拨款支出决算总体情况说明。 </w:t>
      </w:r>
    </w:p>
    <w:p>
      <w:pPr>
        <w:spacing w:line="600" w:lineRule="atLeast"/>
        <w:ind w:firstLine="640" w:firstLineChars="200"/>
        <w:jc w:val="both"/>
        <w:rPr>
          <w:rFonts w:hint="eastAsia"/>
          <w:highlight w:val="yellow"/>
        </w:rPr>
      </w:pPr>
      <w:r>
        <w:rPr>
          <w:rFonts w:hint="eastAsia" w:ascii="仿宋" w:hAnsi="仿宋" w:eastAsia="仿宋"/>
          <w:sz w:val="32"/>
          <w:szCs w:val="32"/>
        </w:rPr>
        <w:t>2020年度“三公”经费一般公共预算财政拨款支出预算为15.39万元，支出决算为15.39万元，完成预算的100%</w:t>
      </w:r>
      <w:r>
        <w:rPr>
          <w:rFonts w:hint="eastAsia" w:ascii="仿宋" w:hAnsi="仿宋" w:eastAsia="仿宋"/>
          <w:sz w:val="32"/>
          <w:szCs w:val="32"/>
          <w:lang w:val="en-US" w:eastAsia="zh-CN"/>
        </w:rPr>
        <w:t>。</w:t>
      </w:r>
      <w:r>
        <w:rPr>
          <w:rFonts w:hint="eastAsia" w:ascii="仿宋" w:hAnsi="仿宋" w:eastAsia="仿宋" w:cs="Arial"/>
          <w:sz w:val="32"/>
          <w:szCs w:val="32"/>
          <w:highlight w:val="none"/>
          <w:lang w:eastAsia="zh-CN"/>
        </w:rPr>
        <w:t>决算数等于预算数的主要原因是严格执行年初预算。</w:t>
      </w:r>
    </w:p>
    <w:p>
      <w:pPr>
        <w:spacing w:line="600" w:lineRule="atLeast"/>
        <w:ind w:firstLine="640"/>
        <w:jc w:val="both"/>
        <w:rPr>
          <w:rFonts w:hint="eastAsia"/>
        </w:rPr>
      </w:pPr>
      <w:r>
        <w:rPr>
          <w:rStyle w:val="27"/>
          <w:rFonts w:hint="eastAsia" w:ascii="仿宋" w:hAnsi="仿宋" w:eastAsia="仿宋"/>
          <w:sz w:val="32"/>
          <w:szCs w:val="32"/>
        </w:rPr>
        <w:t>2.“三公”经费一般公共预算财政拨款支出决算具体情况说明。</w:t>
      </w:r>
    </w:p>
    <w:p>
      <w:pPr>
        <w:spacing w:line="600" w:lineRule="atLeast"/>
        <w:ind w:firstLine="640"/>
        <w:jc w:val="both"/>
        <w:rPr>
          <w:rFonts w:hint="eastAsia"/>
        </w:rPr>
      </w:pPr>
      <w:r>
        <w:rPr>
          <w:rFonts w:hint="eastAsia" w:ascii="仿宋" w:hAnsi="仿宋" w:eastAsia="仿宋"/>
          <w:sz w:val="32"/>
          <w:szCs w:val="32"/>
        </w:rPr>
        <w:t>2020年度“三公”经费一般公共预算财政拨款支出决算中，因公出国（境）费用支出决算为0万元，占0%，</w:t>
      </w:r>
      <w:r>
        <w:rPr>
          <w:rFonts w:hint="eastAsia" w:ascii="仿宋" w:hAnsi="仿宋" w:eastAsia="仿宋"/>
          <w:sz w:val="32"/>
          <w:szCs w:val="32"/>
          <w:lang w:eastAsia="zh-CN"/>
        </w:rPr>
        <w:t>与</w:t>
      </w:r>
      <w:r>
        <w:rPr>
          <w:rFonts w:hint="eastAsia" w:ascii="仿宋" w:hAnsi="仿宋" w:eastAsia="仿宋"/>
          <w:sz w:val="32"/>
          <w:szCs w:val="32"/>
          <w:lang w:val="en-US" w:eastAsia="zh-CN"/>
        </w:rPr>
        <w:t>2019年度相比</w:t>
      </w:r>
      <w:r>
        <w:rPr>
          <w:rFonts w:hint="eastAsia" w:ascii="仿宋" w:hAnsi="仿宋" w:eastAsia="仿宋"/>
          <w:color w:val="auto"/>
          <w:sz w:val="32"/>
          <w:szCs w:val="32"/>
          <w:highlight w:val="none"/>
          <w:lang w:val="en-US" w:eastAsia="zh-CN"/>
        </w:rPr>
        <w:t>，增加0万元，增长0%，与上年持平，</w:t>
      </w:r>
      <w:r>
        <w:rPr>
          <w:rFonts w:hint="eastAsia" w:ascii="仿宋" w:hAnsi="仿宋" w:eastAsia="仿宋"/>
          <w:sz w:val="32"/>
          <w:szCs w:val="32"/>
        </w:rPr>
        <w:t>主要原因是没有组织或参加出国考察工作；公务用车购置及运行维护费支出决算为12.41万元，占80.61%，与2019年度相比，增加3.61万元，增长41.08%，主要原因是车辆维修等支出增加；公务接待费支出决算为2.98万元，占19.39%，与2019年度相比，减少12.63万元，下降80.89%，主要原因是招待批次略少于上年。具体情况如下：</w:t>
      </w:r>
    </w:p>
    <w:p>
      <w:pPr>
        <w:spacing w:line="600" w:lineRule="atLeast"/>
        <w:ind w:left="0" w:firstLine="640"/>
        <w:jc w:val="both"/>
        <w:rPr>
          <w:rFonts w:hint="eastAsia" w:ascii="仿宋" w:hAnsi="仿宋" w:eastAsia="仿宋" w:cs="Arial"/>
          <w:sz w:val="32"/>
          <w:szCs w:val="32"/>
          <w:lang w:val="en-US"/>
        </w:rPr>
      </w:pPr>
      <w:r>
        <w:rPr>
          <w:rFonts w:hint="eastAsia" w:ascii="仿宋" w:hAnsi="仿宋" w:eastAsia="仿宋" w:cs="Arial"/>
          <w:sz w:val="32"/>
          <w:szCs w:val="32"/>
        </w:rPr>
        <w:t>（</w:t>
      </w:r>
      <w:r>
        <w:rPr>
          <w:rFonts w:hint="eastAsia" w:ascii="仿宋" w:hAnsi="仿宋" w:eastAsia="仿宋" w:cs="Arial"/>
          <w:sz w:val="32"/>
          <w:szCs w:val="32"/>
          <w:lang w:val="en-US" w:eastAsia="zh-CN"/>
        </w:rPr>
        <w:t>1</w:t>
      </w:r>
      <w:r>
        <w:rPr>
          <w:rFonts w:hint="eastAsia" w:ascii="仿宋" w:hAnsi="仿宋" w:eastAsia="仿宋" w:cs="Arial"/>
          <w:sz w:val="32"/>
          <w:szCs w:val="32"/>
        </w:rPr>
        <w:t>）因公出国（境）费预算数为</w:t>
      </w:r>
      <w:r>
        <w:rPr>
          <w:rFonts w:hint="eastAsia" w:ascii="仿宋" w:hAnsi="仿宋" w:eastAsia="仿宋"/>
          <w:sz w:val="32"/>
          <w:szCs w:val="32"/>
        </w:rPr>
        <w:t>0</w:t>
      </w:r>
      <w:r>
        <w:rPr>
          <w:rFonts w:hint="eastAsia" w:ascii="仿宋" w:hAnsi="仿宋" w:eastAsia="仿宋" w:cs="Arial"/>
          <w:sz w:val="32"/>
          <w:szCs w:val="32"/>
        </w:rPr>
        <w:t>万元，支出决算为0万元。</w:t>
      </w:r>
      <w:r>
        <w:rPr>
          <w:rFonts w:hint="eastAsia" w:ascii="仿宋" w:hAnsi="仿宋" w:eastAsia="仿宋" w:cs="Arial"/>
          <w:sz w:val="32"/>
          <w:szCs w:val="32"/>
          <w:lang w:eastAsia="zh-CN"/>
        </w:rPr>
        <w:t>完成预算的</w:t>
      </w:r>
      <w:r>
        <w:rPr>
          <w:rFonts w:hint="eastAsia" w:ascii="仿宋" w:hAnsi="仿宋" w:eastAsia="仿宋" w:cs="Arial"/>
          <w:sz w:val="32"/>
          <w:szCs w:val="32"/>
          <w:lang w:val="en-US" w:eastAsia="zh-CN"/>
        </w:rPr>
        <w:t>0%。</w:t>
      </w:r>
      <w:r>
        <w:rPr>
          <w:rFonts w:hint="eastAsia" w:ascii="仿宋" w:hAnsi="仿宋" w:eastAsia="仿宋" w:cs="Arial"/>
          <w:sz w:val="32"/>
          <w:szCs w:val="32"/>
          <w:lang w:eastAsia="zh-CN"/>
        </w:rPr>
        <w:t>主要用于机关及下属预算单位人员的公务出国（境）的住宿费、国际旅费、培训费、公杂费等支出。决算数等于预算数的主要原因是</w:t>
      </w:r>
      <w:r>
        <w:rPr>
          <w:rFonts w:hint="eastAsia" w:ascii="仿宋" w:hAnsi="仿宋" w:eastAsia="仿宋"/>
          <w:sz w:val="32"/>
          <w:szCs w:val="32"/>
        </w:rPr>
        <w:t>没有组织或参加出国考察工作</w:t>
      </w:r>
      <w:r>
        <w:rPr>
          <w:rFonts w:hint="eastAsia" w:ascii="仿宋" w:hAnsi="仿宋" w:eastAsia="仿宋" w:cs="Arial"/>
          <w:sz w:val="32"/>
          <w:szCs w:val="32"/>
        </w:rPr>
        <w:t>。</w:t>
      </w:r>
      <w:r>
        <w:rPr>
          <w:rFonts w:hint="eastAsia" w:ascii="仿宋" w:hAnsi="仿宋" w:eastAsia="仿宋" w:cs="Arial"/>
          <w:sz w:val="32"/>
          <w:szCs w:val="32"/>
          <w:lang w:eastAsia="zh-CN"/>
        </w:rPr>
        <w:t>全年使用一般公共预算财政拨款支出涉及因公出国</w:t>
      </w:r>
      <w:r>
        <w:rPr>
          <w:rFonts w:hint="eastAsia" w:ascii="仿宋" w:hAnsi="仿宋" w:eastAsia="仿宋" w:cs="Arial"/>
          <w:sz w:val="32"/>
          <w:szCs w:val="32"/>
          <w:lang w:val="en-US"/>
        </w:rPr>
        <w:t>(</w:t>
      </w:r>
      <w:r>
        <w:rPr>
          <w:rFonts w:hint="eastAsia" w:ascii="仿宋" w:hAnsi="仿宋" w:eastAsia="仿宋" w:cs="Arial"/>
          <w:sz w:val="32"/>
          <w:szCs w:val="32"/>
          <w:lang w:eastAsia="zh-CN"/>
        </w:rPr>
        <w:t>境</w:t>
      </w:r>
      <w:r>
        <w:rPr>
          <w:rFonts w:hint="eastAsia" w:ascii="仿宋" w:hAnsi="仿宋" w:eastAsia="仿宋" w:cs="Arial"/>
          <w:sz w:val="32"/>
          <w:szCs w:val="32"/>
          <w:lang w:val="en-US"/>
        </w:rPr>
        <w:t>)</w:t>
      </w:r>
      <w:r>
        <w:rPr>
          <w:rFonts w:hint="eastAsia" w:ascii="仿宋" w:hAnsi="仿宋" w:eastAsia="仿宋" w:cs="Arial"/>
          <w:sz w:val="32"/>
          <w:szCs w:val="32"/>
          <w:lang w:eastAsia="zh-CN"/>
        </w:rPr>
        <w:t>团组</w:t>
      </w:r>
      <w:r>
        <w:rPr>
          <w:rFonts w:hint="eastAsia" w:ascii="仿宋" w:hAnsi="仿宋" w:eastAsia="仿宋" w:cs="Arial"/>
          <w:sz w:val="32"/>
          <w:szCs w:val="32"/>
          <w:lang w:val="en-US"/>
        </w:rPr>
        <w:t>0</w:t>
      </w:r>
      <w:r>
        <w:rPr>
          <w:rFonts w:hint="eastAsia" w:ascii="仿宋" w:hAnsi="仿宋" w:eastAsia="仿宋" w:cs="Arial"/>
          <w:sz w:val="32"/>
          <w:szCs w:val="32"/>
          <w:lang w:eastAsia="zh-CN"/>
        </w:rPr>
        <w:t>个；累计</w:t>
      </w:r>
      <w:r>
        <w:rPr>
          <w:rFonts w:hint="eastAsia" w:ascii="仿宋" w:hAnsi="仿宋" w:eastAsia="仿宋" w:cs="Arial"/>
          <w:sz w:val="32"/>
          <w:szCs w:val="32"/>
          <w:lang w:val="en-US"/>
        </w:rPr>
        <w:t>0</w:t>
      </w:r>
      <w:r>
        <w:rPr>
          <w:rFonts w:hint="eastAsia" w:ascii="仿宋" w:hAnsi="仿宋" w:eastAsia="仿宋" w:cs="Arial"/>
          <w:sz w:val="32"/>
          <w:szCs w:val="32"/>
          <w:lang w:eastAsia="zh-CN"/>
        </w:rPr>
        <w:t>人次。无开支内容。</w:t>
      </w:r>
    </w:p>
    <w:p>
      <w:pPr>
        <w:spacing w:line="600" w:lineRule="atLeast"/>
        <w:ind w:firstLine="640" w:firstLineChars="200"/>
        <w:jc w:val="both"/>
        <w:rPr>
          <w:rFonts w:hint="eastAsia"/>
          <w:highlight w:val="yellow"/>
        </w:rPr>
      </w:pPr>
      <w:r>
        <w:rPr>
          <w:rFonts w:hint="eastAsia" w:ascii="仿宋" w:hAnsi="仿宋" w:eastAsia="仿宋" w:cs="Arial"/>
          <w:sz w:val="32"/>
          <w:szCs w:val="32"/>
        </w:rPr>
        <w:t>（2）公务用车购置及运行维护费预算数为</w:t>
      </w:r>
      <w:r>
        <w:rPr>
          <w:rFonts w:hint="eastAsia" w:ascii="仿宋" w:hAnsi="仿宋" w:eastAsia="仿宋"/>
          <w:sz w:val="32"/>
          <w:szCs w:val="32"/>
        </w:rPr>
        <w:t>12.41</w:t>
      </w:r>
      <w:r>
        <w:rPr>
          <w:rFonts w:hint="eastAsia" w:ascii="仿宋" w:hAnsi="仿宋" w:eastAsia="仿宋" w:cs="Arial"/>
          <w:sz w:val="32"/>
          <w:szCs w:val="32"/>
        </w:rPr>
        <w:t>万元，支出决算为12.41万元，完成预算的</w:t>
      </w:r>
      <w:r>
        <w:rPr>
          <w:rFonts w:hint="eastAsia" w:ascii="仿宋" w:hAnsi="仿宋" w:eastAsia="仿宋"/>
          <w:sz w:val="32"/>
          <w:szCs w:val="32"/>
        </w:rPr>
        <w:t>10</w:t>
      </w:r>
      <w:r>
        <w:rPr>
          <w:rFonts w:hint="eastAsia" w:ascii="仿宋" w:hAnsi="仿宋" w:eastAsia="仿宋"/>
          <w:sz w:val="32"/>
          <w:szCs w:val="32"/>
          <w:highlight w:val="none"/>
        </w:rPr>
        <w:t>0%。</w:t>
      </w:r>
      <w:r>
        <w:rPr>
          <w:rFonts w:hint="eastAsia" w:ascii="仿宋" w:hAnsi="仿宋" w:eastAsia="仿宋" w:cs="Arial"/>
          <w:sz w:val="32"/>
          <w:szCs w:val="32"/>
          <w:highlight w:val="none"/>
          <w:lang w:eastAsia="zh-CN"/>
        </w:rPr>
        <w:t>决算数等于预算数的主要原因是严格执行年初预算。</w:t>
      </w:r>
    </w:p>
    <w:p>
      <w:pPr>
        <w:spacing w:line="600" w:lineRule="atLeast"/>
        <w:ind w:firstLine="640" w:firstLineChars="200"/>
        <w:jc w:val="both"/>
        <w:rPr>
          <w:rFonts w:hint="eastAsia"/>
          <w:highlight w:val="none"/>
        </w:rPr>
      </w:pPr>
      <w:r>
        <w:rPr>
          <w:rFonts w:hint="eastAsia" w:ascii="仿宋" w:hAnsi="仿宋" w:eastAsia="仿宋" w:cs="Arial"/>
          <w:sz w:val="32"/>
          <w:szCs w:val="32"/>
        </w:rPr>
        <w:t>公务用车购置预算数为</w:t>
      </w:r>
      <w:r>
        <w:rPr>
          <w:rFonts w:hint="eastAsia" w:ascii="仿宋" w:hAnsi="仿宋" w:eastAsia="仿宋"/>
          <w:sz w:val="32"/>
          <w:szCs w:val="32"/>
        </w:rPr>
        <w:t>0</w:t>
      </w:r>
      <w:r>
        <w:rPr>
          <w:rFonts w:hint="eastAsia" w:ascii="仿宋" w:hAnsi="仿宋" w:eastAsia="仿宋" w:cs="Arial"/>
          <w:sz w:val="32"/>
          <w:szCs w:val="32"/>
        </w:rPr>
        <w:t>万元，支出决算为0万元（含购置税等附加费用）</w:t>
      </w:r>
      <w:r>
        <w:rPr>
          <w:rFonts w:hint="eastAsia" w:ascii="仿宋" w:hAnsi="仿宋" w:eastAsia="仿宋" w:cs="Arial"/>
          <w:sz w:val="32"/>
          <w:szCs w:val="32"/>
          <w:lang w:eastAsia="zh-CN"/>
        </w:rPr>
        <w:t>，完成预算的</w:t>
      </w:r>
      <w:r>
        <w:rPr>
          <w:rFonts w:hint="eastAsia" w:ascii="仿宋" w:hAnsi="仿宋" w:eastAsia="仿宋" w:cs="Arial"/>
          <w:sz w:val="32"/>
          <w:szCs w:val="32"/>
          <w:lang w:val="en-US" w:eastAsia="zh-CN"/>
        </w:rPr>
        <w:t>0%</w:t>
      </w:r>
      <w:r>
        <w:rPr>
          <w:rFonts w:hint="eastAsia" w:ascii="仿宋" w:hAnsi="仿宋" w:eastAsia="仿宋" w:cs="Arial"/>
          <w:sz w:val="32"/>
          <w:szCs w:val="32"/>
          <w:highlight w:val="none"/>
        </w:rPr>
        <w:t>。</w:t>
      </w:r>
      <w:r>
        <w:rPr>
          <w:rFonts w:hint="eastAsia" w:ascii="仿宋" w:hAnsi="仿宋" w:eastAsia="仿宋" w:cs="Arial"/>
          <w:sz w:val="32"/>
          <w:szCs w:val="32"/>
          <w:highlight w:val="none"/>
          <w:lang w:eastAsia="zh-CN"/>
        </w:rPr>
        <w:t>决算数等于预算数的主要原因是无</w:t>
      </w:r>
      <w:r>
        <w:rPr>
          <w:rFonts w:hint="eastAsia" w:ascii="仿宋" w:hAnsi="仿宋" w:eastAsia="仿宋" w:cs="Arial"/>
          <w:sz w:val="32"/>
          <w:szCs w:val="32"/>
          <w:highlight w:val="none"/>
        </w:rPr>
        <w:t>公务用车购置</w:t>
      </w:r>
      <w:r>
        <w:rPr>
          <w:rFonts w:hint="eastAsia" w:ascii="仿宋" w:hAnsi="仿宋" w:eastAsia="仿宋" w:cs="Arial"/>
          <w:sz w:val="32"/>
          <w:szCs w:val="32"/>
          <w:highlight w:val="none"/>
          <w:lang w:eastAsia="zh-CN"/>
        </w:rPr>
        <w:t>。</w:t>
      </w:r>
      <w:r>
        <w:rPr>
          <w:rFonts w:hint="eastAsia" w:ascii="仿宋" w:hAnsi="仿宋" w:eastAsia="仿宋" w:cs="Arial"/>
          <w:sz w:val="32"/>
          <w:szCs w:val="32"/>
          <w:highlight w:val="none"/>
        </w:rPr>
        <w:t>主要用于经批准购置的0辆公务用车；</w:t>
      </w:r>
    </w:p>
    <w:p>
      <w:pPr>
        <w:spacing w:line="600" w:lineRule="atLeast"/>
        <w:ind w:firstLine="640"/>
        <w:jc w:val="both"/>
        <w:rPr>
          <w:rFonts w:hint="eastAsia"/>
        </w:rPr>
      </w:pPr>
      <w:r>
        <w:rPr>
          <w:rFonts w:hint="eastAsia" w:ascii="仿宋" w:hAnsi="仿宋" w:eastAsia="仿宋" w:cs="Arial"/>
          <w:sz w:val="32"/>
          <w:szCs w:val="32"/>
        </w:rPr>
        <w:t>公务用车运行维护费预算数为</w:t>
      </w:r>
      <w:r>
        <w:rPr>
          <w:rFonts w:hint="eastAsia" w:ascii="仿宋" w:hAnsi="仿宋" w:eastAsia="仿宋"/>
          <w:sz w:val="32"/>
          <w:szCs w:val="32"/>
        </w:rPr>
        <w:t>12.41</w:t>
      </w:r>
      <w:r>
        <w:rPr>
          <w:rFonts w:hint="eastAsia" w:ascii="仿宋" w:hAnsi="仿宋" w:eastAsia="仿宋" w:cs="Arial"/>
          <w:sz w:val="32"/>
          <w:szCs w:val="32"/>
        </w:rPr>
        <w:t>万元，支出12.41万元，完成预算的</w:t>
      </w:r>
      <w:r>
        <w:rPr>
          <w:rFonts w:hint="eastAsia" w:ascii="仿宋" w:hAnsi="仿宋" w:eastAsia="仿宋"/>
          <w:sz w:val="32"/>
          <w:szCs w:val="32"/>
        </w:rPr>
        <w:t>100%</w:t>
      </w:r>
      <w:r>
        <w:rPr>
          <w:rFonts w:hint="eastAsia" w:ascii="仿宋" w:hAnsi="仿宋" w:eastAsia="仿宋"/>
          <w:sz w:val="32"/>
          <w:szCs w:val="32"/>
          <w:highlight w:val="none"/>
        </w:rPr>
        <w:t>。</w:t>
      </w:r>
      <w:r>
        <w:rPr>
          <w:rFonts w:hint="eastAsia" w:ascii="仿宋" w:hAnsi="仿宋" w:eastAsia="仿宋" w:cs="Arial"/>
          <w:sz w:val="32"/>
          <w:szCs w:val="32"/>
          <w:highlight w:val="none"/>
          <w:lang w:eastAsia="zh-CN"/>
        </w:rPr>
        <w:t>决算数等于预算数的主要原因是严格执行年初预算。</w:t>
      </w:r>
      <w:r>
        <w:rPr>
          <w:rFonts w:hint="eastAsia" w:ascii="仿宋" w:hAnsi="仿宋" w:eastAsia="仿宋"/>
          <w:sz w:val="32"/>
          <w:szCs w:val="32"/>
          <w:highlight w:val="none"/>
        </w:rPr>
        <w:t>主要用于</w:t>
      </w:r>
      <w:r>
        <w:rPr>
          <w:rFonts w:hint="eastAsia" w:ascii="仿宋" w:hAnsi="仿宋" w:eastAsia="仿宋"/>
          <w:sz w:val="32"/>
          <w:szCs w:val="32"/>
        </w:rPr>
        <w:t>公务用车燃料费、维修费、过路过桥费、保险费、安全奖励费用等支出；2020年度，本级及所属单位开支一般公共预算财政拨款的公务用车保有量为0辆。</w:t>
      </w:r>
    </w:p>
    <w:p>
      <w:pPr>
        <w:spacing w:line="600" w:lineRule="atLeast"/>
        <w:ind w:firstLine="640"/>
        <w:jc w:val="both"/>
        <w:rPr>
          <w:rFonts w:hint="eastAsia"/>
        </w:rPr>
      </w:pPr>
      <w:r>
        <w:rPr>
          <w:rFonts w:hint="eastAsia" w:ascii="仿宋" w:hAnsi="仿宋" w:eastAsia="仿宋" w:cs="Arial"/>
          <w:sz w:val="32"/>
          <w:szCs w:val="32"/>
        </w:rPr>
        <w:t>（3）公务接待费预算数为</w:t>
      </w:r>
      <w:r>
        <w:rPr>
          <w:rFonts w:hint="eastAsia" w:ascii="仿宋" w:hAnsi="仿宋" w:eastAsia="仿宋"/>
          <w:sz w:val="32"/>
          <w:szCs w:val="32"/>
        </w:rPr>
        <w:t>2.98</w:t>
      </w:r>
      <w:r>
        <w:rPr>
          <w:rFonts w:hint="eastAsia" w:ascii="仿宋" w:hAnsi="仿宋" w:eastAsia="仿宋" w:cs="Arial"/>
          <w:sz w:val="32"/>
          <w:szCs w:val="32"/>
        </w:rPr>
        <w:t>万元，支出</w:t>
      </w:r>
      <w:r>
        <w:rPr>
          <w:rFonts w:hint="eastAsia" w:ascii="仿宋" w:hAnsi="仿宋" w:eastAsia="仿宋" w:cs="Arial"/>
          <w:sz w:val="32"/>
          <w:szCs w:val="32"/>
          <w:highlight w:val="none"/>
        </w:rPr>
        <w:t>决算为2.98万元，完成预算的</w:t>
      </w:r>
      <w:r>
        <w:rPr>
          <w:rFonts w:hint="eastAsia" w:ascii="仿宋" w:hAnsi="仿宋" w:eastAsia="仿宋"/>
          <w:sz w:val="32"/>
          <w:szCs w:val="32"/>
          <w:highlight w:val="none"/>
        </w:rPr>
        <w:t>100%。主要用于接待等支出。</w:t>
      </w:r>
      <w:r>
        <w:rPr>
          <w:rFonts w:hint="eastAsia" w:ascii="仿宋" w:hAnsi="仿宋" w:eastAsia="仿宋" w:cs="Arial"/>
          <w:sz w:val="32"/>
          <w:szCs w:val="32"/>
          <w:highlight w:val="none"/>
          <w:lang w:eastAsia="zh-CN"/>
        </w:rPr>
        <w:t>决算数等于预算数的主要原因是严格执行年初预算</w:t>
      </w:r>
      <w:r>
        <w:rPr>
          <w:rFonts w:hint="eastAsia" w:ascii="仿宋" w:hAnsi="仿宋" w:eastAsia="仿宋" w:cs="Arial"/>
          <w:sz w:val="32"/>
          <w:szCs w:val="32"/>
          <w:highlight w:val="none"/>
          <w:lang w:val="en-US" w:eastAsia="zh-CN"/>
        </w:rPr>
        <w:t>。</w:t>
      </w:r>
      <w:r>
        <w:rPr>
          <w:rFonts w:hint="eastAsia" w:ascii="仿宋" w:hAnsi="仿宋" w:eastAsia="仿宋"/>
          <w:sz w:val="32"/>
          <w:szCs w:val="32"/>
          <w:highlight w:val="none"/>
        </w:rPr>
        <w:t>全年</w:t>
      </w:r>
      <w:r>
        <w:rPr>
          <w:rFonts w:hint="eastAsia" w:ascii="仿宋" w:hAnsi="仿宋" w:eastAsia="仿宋"/>
          <w:sz w:val="32"/>
          <w:szCs w:val="32"/>
        </w:rPr>
        <w:t>使用一般公共预算财政拨款国内公务接待42团组，累计275人次。</w:t>
      </w:r>
    </w:p>
    <w:p>
      <w:pPr>
        <w:spacing w:line="600" w:lineRule="atLeast"/>
        <w:ind w:firstLine="640"/>
        <w:jc w:val="both"/>
        <w:rPr>
          <w:rFonts w:hint="eastAsia"/>
        </w:rPr>
      </w:pPr>
      <w:r>
        <w:rPr>
          <w:rFonts w:hint="eastAsia" w:ascii="仿宋" w:hAnsi="仿宋" w:eastAsia="仿宋" w:cs="Arial"/>
          <w:sz w:val="32"/>
          <w:szCs w:val="32"/>
        </w:rPr>
        <w:t>外宾接待支出0万元，主要用于接待0团组，0人次。</w:t>
      </w:r>
    </w:p>
    <w:p>
      <w:pPr>
        <w:spacing w:line="600" w:lineRule="atLeast"/>
        <w:ind w:firstLine="640"/>
        <w:jc w:val="both"/>
        <w:rPr>
          <w:rFonts w:hint="eastAsia"/>
        </w:rPr>
      </w:pPr>
      <w:r>
        <w:rPr>
          <w:rFonts w:hint="eastAsia" w:ascii="仿宋" w:hAnsi="仿宋" w:eastAsia="仿宋" w:cs="Arial"/>
          <w:sz w:val="32"/>
          <w:szCs w:val="32"/>
        </w:rPr>
        <w:t>其他国内公务接待支出2.98万元，主要用于接待42团组，275人次。</w:t>
      </w:r>
    </w:p>
    <w:p>
      <w:pPr>
        <w:spacing w:line="600" w:lineRule="atLeast"/>
        <w:ind w:firstLine="640"/>
        <w:jc w:val="both"/>
        <w:rPr>
          <w:rFonts w:hint="eastAsia"/>
        </w:rPr>
      </w:pPr>
      <w:r>
        <w:rPr>
          <w:rStyle w:val="27"/>
          <w:rFonts w:hint="eastAsia" w:ascii="楷体" w:hAnsi="楷体" w:eastAsia="楷体" w:cs="Arial"/>
          <w:sz w:val="32"/>
          <w:szCs w:val="32"/>
        </w:rPr>
        <w:t>（十）机关运行经费支出说明</w:t>
      </w:r>
    </w:p>
    <w:p>
      <w:pPr>
        <w:spacing w:line="600" w:lineRule="atLeast"/>
        <w:ind w:firstLine="640"/>
        <w:jc w:val="both"/>
        <w:rPr>
          <w:rFonts w:hint="eastAsia"/>
          <w:highlight w:val="none"/>
          <w:u w:val="none"/>
        </w:rPr>
      </w:pPr>
      <w:r>
        <w:rPr>
          <w:rFonts w:hint="eastAsia" w:ascii="仿宋" w:hAnsi="仿宋" w:eastAsia="仿宋"/>
          <w:sz w:val="32"/>
          <w:szCs w:val="32"/>
        </w:rPr>
        <w:t>2020年度机关运行经费年初预算数为191.46万元，支出决算为191.46万元，完成年初预算的100%，</w:t>
      </w:r>
      <w:r>
        <w:rPr>
          <w:rFonts w:hint="eastAsia" w:ascii="仿宋" w:hAnsi="仿宋" w:eastAsia="仿宋"/>
          <w:sz w:val="32"/>
          <w:szCs w:val="32"/>
          <w:highlight w:val="none"/>
          <w:u w:val="none"/>
          <w:lang w:eastAsia="zh-CN"/>
        </w:rPr>
        <w:t>比</w:t>
      </w:r>
      <w:r>
        <w:rPr>
          <w:rFonts w:hint="eastAsia" w:ascii="仿宋" w:hAnsi="仿宋" w:eastAsia="仿宋"/>
          <w:sz w:val="32"/>
          <w:szCs w:val="32"/>
          <w:highlight w:val="none"/>
          <w:u w:val="none"/>
        </w:rPr>
        <w:t>2019年度</w:t>
      </w:r>
      <w:r>
        <w:rPr>
          <w:rFonts w:hint="eastAsia" w:ascii="仿宋" w:hAnsi="仿宋" w:eastAsia="仿宋"/>
          <w:sz w:val="32"/>
          <w:szCs w:val="32"/>
          <w:highlight w:val="none"/>
          <w:u w:val="none"/>
          <w:lang w:eastAsia="zh-CN"/>
        </w:rPr>
        <w:t>减少</w:t>
      </w:r>
      <w:r>
        <w:rPr>
          <w:rFonts w:hint="eastAsia" w:ascii="仿宋" w:hAnsi="仿宋" w:eastAsia="仿宋"/>
          <w:sz w:val="32"/>
          <w:szCs w:val="32"/>
          <w:highlight w:val="none"/>
          <w:u w:val="none"/>
          <w:lang w:val="en-US" w:eastAsia="zh-CN"/>
        </w:rPr>
        <w:t>2,424.42万元</w:t>
      </w:r>
      <w:r>
        <w:rPr>
          <w:rFonts w:hint="eastAsia" w:ascii="仿宋" w:hAnsi="仿宋" w:eastAsia="仿宋"/>
          <w:sz w:val="32"/>
          <w:szCs w:val="32"/>
          <w:highlight w:val="none"/>
          <w:u w:val="none"/>
          <w:lang w:eastAsia="zh-CN"/>
        </w:rPr>
        <w:t>，下降</w:t>
      </w:r>
      <w:r>
        <w:rPr>
          <w:rFonts w:hint="eastAsia" w:ascii="仿宋" w:hAnsi="仿宋" w:eastAsia="仿宋"/>
          <w:sz w:val="32"/>
          <w:szCs w:val="32"/>
          <w:highlight w:val="none"/>
          <w:u w:val="none"/>
          <w:lang w:val="en-US" w:eastAsia="zh-CN"/>
        </w:rPr>
        <w:t>92.68%，</w:t>
      </w:r>
      <w:r>
        <w:rPr>
          <w:rFonts w:hint="eastAsia" w:ascii="仿宋" w:hAnsi="仿宋" w:eastAsia="仿宋"/>
          <w:sz w:val="32"/>
          <w:szCs w:val="32"/>
          <w:highlight w:val="none"/>
          <w:u w:val="none"/>
          <w:lang w:eastAsia="zh-CN"/>
        </w:rPr>
        <w:t>主要原因是</w:t>
      </w:r>
      <w:r>
        <w:rPr>
          <w:rFonts w:hint="eastAsia" w:ascii="仿宋" w:hAnsi="仿宋" w:eastAsia="仿宋"/>
          <w:sz w:val="32"/>
          <w:szCs w:val="32"/>
          <w:highlight w:val="none"/>
          <w:u w:val="none"/>
          <w:lang w:val="en-US" w:eastAsia="zh-CN"/>
        </w:rPr>
        <w:t>2020年用项目资金安排</w:t>
      </w:r>
      <w:r>
        <w:rPr>
          <w:rFonts w:hint="eastAsia" w:ascii="仿宋" w:hAnsi="仿宋" w:eastAsia="仿宋"/>
          <w:sz w:val="32"/>
          <w:szCs w:val="32"/>
          <w:highlight w:val="none"/>
          <w:u w:val="none"/>
        </w:rPr>
        <w:t>。</w:t>
      </w:r>
    </w:p>
    <w:p>
      <w:pPr>
        <w:spacing w:line="600" w:lineRule="atLeast"/>
        <w:ind w:firstLine="640"/>
        <w:jc w:val="both"/>
        <w:rPr>
          <w:rFonts w:hint="eastAsia"/>
        </w:rPr>
      </w:pPr>
      <w:r>
        <w:rPr>
          <w:rStyle w:val="27"/>
          <w:rFonts w:hint="eastAsia" w:ascii="楷体" w:hAnsi="楷体" w:eastAsia="楷体" w:cs="Arial"/>
          <w:sz w:val="32"/>
          <w:szCs w:val="32"/>
        </w:rPr>
        <w:t>（十一）政府采购支出说明</w:t>
      </w:r>
    </w:p>
    <w:p>
      <w:pPr>
        <w:spacing w:line="600" w:lineRule="atLeast"/>
        <w:ind w:firstLine="640"/>
        <w:jc w:val="both"/>
        <w:rPr>
          <w:rFonts w:hint="eastAsia"/>
        </w:rPr>
      </w:pPr>
      <w:r>
        <w:rPr>
          <w:rFonts w:hint="eastAsia" w:ascii="仿宋" w:hAnsi="仿宋" w:eastAsia="仿宋"/>
          <w:sz w:val="32"/>
          <w:szCs w:val="32"/>
        </w:rPr>
        <w:t>2020年度政府采购支出总额4,193.45万元，其中：政府采购货物支出90.75万元、政府采购工程支出2,058.95万元、政府采购服务支出2,043.74万元。授予中小企业合同金额50.00万元，占政府采购支出总额的1.19%。其中，授予小微企业合同金额0万元，占政府采购支出总额的0%。</w:t>
      </w:r>
    </w:p>
    <w:p>
      <w:pPr>
        <w:spacing w:line="600" w:lineRule="atLeast"/>
        <w:ind w:firstLine="640"/>
        <w:jc w:val="both"/>
        <w:rPr>
          <w:rFonts w:hint="eastAsia"/>
        </w:rPr>
      </w:pPr>
      <w:r>
        <w:rPr>
          <w:rStyle w:val="27"/>
          <w:rFonts w:hint="eastAsia" w:ascii="楷体" w:hAnsi="楷体" w:eastAsia="楷体" w:cs="Arial"/>
          <w:sz w:val="32"/>
          <w:szCs w:val="32"/>
        </w:rPr>
        <w:t>（十二）国有资产占有情况说明</w:t>
      </w:r>
    </w:p>
    <w:p>
      <w:pPr>
        <w:spacing w:line="600" w:lineRule="atLeast"/>
        <w:ind w:firstLine="640"/>
        <w:jc w:val="both"/>
        <w:rPr>
          <w:rFonts w:hint="eastAsia"/>
        </w:rPr>
      </w:pPr>
      <w:r>
        <w:rPr>
          <w:rFonts w:hint="eastAsia" w:ascii="仿宋" w:hAnsi="仿宋" w:eastAsia="仿宋" w:cs="Arial"/>
          <w:sz w:val="32"/>
          <w:szCs w:val="32"/>
        </w:rPr>
        <w:t xml:space="preserve">截至2020年12月31日，温州浙南科技城管理委员会本级及所属各单位共有车辆0辆，其中，副部（省）级及以上领导用车0辆、主要领导干部用车0辆、机要通信用车0辆、应急保障用车0辆、执法执勤用车0辆、特种专业技术用车0辆、离退休干部用车0辆、其他用车0辆；单价50万元以上通用设备0台（套），单价100万元以上专用设备0台（套）。 </w:t>
      </w:r>
    </w:p>
    <w:p>
      <w:pPr>
        <w:spacing w:line="600" w:lineRule="atLeast"/>
        <w:ind w:firstLine="640"/>
        <w:jc w:val="both"/>
        <w:rPr>
          <w:rFonts w:hint="eastAsia"/>
        </w:rPr>
      </w:pPr>
      <w:r>
        <w:rPr>
          <w:rStyle w:val="27"/>
          <w:rFonts w:hint="eastAsia" w:ascii="楷体" w:hAnsi="楷体" w:eastAsia="楷体" w:cs="Arial"/>
          <w:sz w:val="32"/>
          <w:szCs w:val="32"/>
        </w:rPr>
        <w:t>（十三）预算绩效情况说明</w:t>
      </w:r>
    </w:p>
    <w:p>
      <w:pPr>
        <w:spacing w:line="600" w:lineRule="atLeast"/>
        <w:ind w:firstLine="640"/>
        <w:jc w:val="both"/>
        <w:rPr>
          <w:rFonts w:hint="eastAsia"/>
        </w:rPr>
      </w:pPr>
      <w:r>
        <w:rPr>
          <w:rStyle w:val="27"/>
          <w:rFonts w:hint="eastAsia" w:ascii="仿宋" w:hAnsi="仿宋" w:eastAsia="仿宋"/>
          <w:sz w:val="32"/>
          <w:szCs w:val="32"/>
        </w:rPr>
        <w:t xml:space="preserve">1.预算绩效管理工作开展情况。 </w:t>
      </w:r>
    </w:p>
    <w:p>
      <w:pPr>
        <w:spacing w:line="600" w:lineRule="atLeast"/>
        <w:ind w:firstLine="640"/>
        <w:jc w:val="both"/>
        <w:rPr>
          <w:rFonts w:hint="default" w:eastAsia="仿宋"/>
          <w:highlight w:val="none"/>
          <w:lang w:val="en-US" w:eastAsia="zh-CN"/>
        </w:rPr>
      </w:pPr>
      <w:r>
        <w:rPr>
          <w:rFonts w:hint="eastAsia" w:ascii="仿宋" w:hAnsi="仿宋" w:eastAsia="仿宋" w:cs="Arial"/>
          <w:sz w:val="32"/>
          <w:szCs w:val="32"/>
          <w:highlight w:val="none"/>
        </w:rPr>
        <w:t>根据预算绩效管理要求，组织对2020年度一般公共预算项目支出全面开展绩效自评，其中，一级项目</w:t>
      </w:r>
      <w:r>
        <w:rPr>
          <w:rFonts w:hint="eastAsia" w:ascii="仿宋" w:hAnsi="仿宋" w:eastAsia="仿宋" w:cs="Arial"/>
          <w:sz w:val="32"/>
          <w:szCs w:val="32"/>
          <w:highlight w:val="none"/>
          <w:lang w:val="en-US" w:eastAsia="zh-CN"/>
        </w:rPr>
        <w:t>0</w:t>
      </w:r>
      <w:r>
        <w:rPr>
          <w:rFonts w:hint="eastAsia" w:ascii="仿宋" w:hAnsi="仿宋" w:eastAsia="仿宋" w:cs="Arial"/>
          <w:sz w:val="32"/>
          <w:szCs w:val="32"/>
          <w:highlight w:val="none"/>
        </w:rPr>
        <w:t>个，</w:t>
      </w:r>
      <w:r>
        <w:rPr>
          <w:rFonts w:hint="eastAsia" w:ascii="仿宋" w:hAnsi="仿宋" w:eastAsia="仿宋" w:cs="Arial"/>
          <w:sz w:val="32"/>
          <w:szCs w:val="32"/>
          <w:highlight w:val="none"/>
          <w:lang w:eastAsia="zh-CN"/>
        </w:rPr>
        <w:t>二级项目</w:t>
      </w:r>
      <w:r>
        <w:rPr>
          <w:rFonts w:hint="eastAsia" w:ascii="仿宋" w:hAnsi="仿宋" w:eastAsia="仿宋" w:cs="Arial"/>
          <w:sz w:val="32"/>
          <w:szCs w:val="32"/>
          <w:highlight w:val="none"/>
          <w:lang w:val="en-US" w:eastAsia="zh-CN"/>
        </w:rPr>
        <w:t>17个，</w:t>
      </w:r>
      <w:r>
        <w:rPr>
          <w:rFonts w:hint="eastAsia" w:ascii="仿宋" w:hAnsi="仿宋" w:eastAsia="仿宋" w:cs="Arial"/>
          <w:sz w:val="32"/>
          <w:szCs w:val="32"/>
          <w:highlight w:val="none"/>
        </w:rPr>
        <w:t>共涉及资金</w:t>
      </w:r>
      <w:r>
        <w:rPr>
          <w:rFonts w:hint="eastAsia" w:ascii="仿宋" w:hAnsi="仿宋" w:eastAsia="仿宋" w:cs="Arial"/>
          <w:sz w:val="32"/>
          <w:szCs w:val="32"/>
          <w:highlight w:val="none"/>
          <w:lang w:val="en-US" w:eastAsia="zh-CN"/>
        </w:rPr>
        <w:t>19,2</w:t>
      </w:r>
      <w:r>
        <w:rPr>
          <w:rFonts w:hint="eastAsia" w:ascii="仿宋" w:hAnsi="仿宋" w:eastAsia="仿宋" w:cs="Arial"/>
          <w:sz w:val="32"/>
          <w:szCs w:val="32"/>
          <w:highlight w:val="none"/>
        </w:rPr>
        <w:t>0</w:t>
      </w:r>
      <w:r>
        <w:rPr>
          <w:rFonts w:hint="eastAsia" w:ascii="仿宋" w:hAnsi="仿宋" w:eastAsia="仿宋" w:cs="Arial"/>
          <w:sz w:val="32"/>
          <w:szCs w:val="32"/>
          <w:highlight w:val="none"/>
          <w:lang w:val="en-US" w:eastAsia="zh-CN"/>
        </w:rPr>
        <w:t>8</w:t>
      </w:r>
      <w:r>
        <w:rPr>
          <w:rFonts w:hint="eastAsia" w:ascii="仿宋" w:hAnsi="仿宋" w:eastAsia="仿宋" w:cs="Arial"/>
          <w:sz w:val="32"/>
          <w:szCs w:val="32"/>
          <w:highlight w:val="none"/>
        </w:rPr>
        <w:t>.</w:t>
      </w:r>
      <w:r>
        <w:rPr>
          <w:rFonts w:hint="eastAsia" w:ascii="仿宋" w:hAnsi="仿宋" w:eastAsia="仿宋" w:cs="Arial"/>
          <w:sz w:val="32"/>
          <w:szCs w:val="32"/>
          <w:highlight w:val="none"/>
          <w:lang w:val="en-US" w:eastAsia="zh-CN"/>
        </w:rPr>
        <w:t>09</w:t>
      </w:r>
      <w:r>
        <w:rPr>
          <w:rFonts w:hint="eastAsia" w:ascii="仿宋" w:hAnsi="仿宋" w:eastAsia="仿宋" w:cs="Arial"/>
          <w:sz w:val="32"/>
          <w:szCs w:val="32"/>
          <w:highlight w:val="none"/>
        </w:rPr>
        <w:t>万元。</w:t>
      </w:r>
      <w:r>
        <w:rPr>
          <w:rFonts w:hint="eastAsia" w:ascii="仿宋" w:hAnsi="仿宋" w:eastAsia="仿宋" w:cs="Arial"/>
          <w:sz w:val="32"/>
          <w:szCs w:val="32"/>
          <w:highlight w:val="none"/>
          <w:lang w:val="en-US" w:eastAsia="zh-CN"/>
        </w:rPr>
        <w:t>占一般公共预算项目支出总额的100%。</w:t>
      </w:r>
      <w:r>
        <w:rPr>
          <w:rFonts w:hint="eastAsia" w:ascii="仿宋" w:hAnsi="仿宋" w:eastAsia="仿宋" w:cs="Arial"/>
          <w:sz w:val="32"/>
          <w:szCs w:val="32"/>
          <w:highlight w:val="none"/>
          <w:lang w:eastAsia="zh-CN"/>
        </w:rPr>
        <w:t>组织对科技口政策奖补等</w:t>
      </w:r>
      <w:r>
        <w:rPr>
          <w:rFonts w:hint="eastAsia" w:ascii="仿宋" w:hAnsi="仿宋" w:eastAsia="仿宋" w:cs="Arial"/>
          <w:sz w:val="32"/>
          <w:szCs w:val="32"/>
          <w:highlight w:val="none"/>
          <w:lang w:val="en-US" w:eastAsia="zh-CN"/>
        </w:rPr>
        <w:t>2020年35个政府性基金预算项目支出开展绩效自评，共涉及资金74,096.18万元。占政府性基金预算项目支出总额的34.03%。</w:t>
      </w:r>
    </w:p>
    <w:p>
      <w:pPr>
        <w:spacing w:line="600" w:lineRule="atLeast"/>
        <w:ind w:firstLine="640"/>
        <w:jc w:val="both"/>
        <w:rPr>
          <w:rFonts w:hint="eastAsia"/>
        </w:rPr>
      </w:pPr>
      <w:r>
        <w:rPr>
          <w:rFonts w:hint="eastAsia" w:ascii="仿宋" w:hAnsi="仿宋" w:eastAsia="仿宋" w:cs="Arial"/>
          <w:sz w:val="32"/>
          <w:szCs w:val="32"/>
        </w:rPr>
        <w:t>本年无部门评价。</w:t>
      </w:r>
    </w:p>
    <w:p>
      <w:pPr>
        <w:spacing w:line="600" w:lineRule="atLeast"/>
        <w:ind w:firstLine="640"/>
        <w:jc w:val="both"/>
        <w:rPr>
          <w:rFonts w:hint="eastAsia"/>
        </w:rPr>
      </w:pPr>
      <w:r>
        <w:rPr>
          <w:rFonts w:hint="eastAsia" w:ascii="仿宋" w:hAnsi="仿宋" w:eastAsia="仿宋" w:cs="Arial"/>
          <w:sz w:val="32"/>
          <w:szCs w:val="32"/>
        </w:rPr>
        <w:t>本年无部门整体支出绩效评价。</w:t>
      </w:r>
    </w:p>
    <w:p>
      <w:pPr>
        <w:spacing w:line="600" w:lineRule="atLeast"/>
        <w:ind w:firstLine="640"/>
        <w:jc w:val="both"/>
        <w:rPr>
          <w:rFonts w:hint="eastAsia"/>
        </w:rPr>
      </w:pPr>
      <w:r>
        <w:rPr>
          <w:rFonts w:hint="eastAsia" w:ascii="仿宋" w:hAnsi="仿宋" w:eastAsia="仿宋" w:cs="Arial"/>
          <w:sz w:val="32"/>
          <w:szCs w:val="32"/>
        </w:rPr>
        <w:t>本年无下属部门或单位整体支出绩效评价。</w:t>
      </w:r>
    </w:p>
    <w:p>
      <w:pPr>
        <w:spacing w:line="600" w:lineRule="atLeast"/>
        <w:ind w:firstLine="640"/>
        <w:jc w:val="both"/>
        <w:rPr>
          <w:rFonts w:hint="eastAsia"/>
        </w:rPr>
      </w:pPr>
      <w:r>
        <w:rPr>
          <w:rStyle w:val="27"/>
          <w:rFonts w:hint="eastAsia" w:ascii="仿宋" w:hAnsi="仿宋" w:eastAsia="仿宋"/>
          <w:sz w:val="32"/>
          <w:szCs w:val="32"/>
        </w:rPr>
        <w:t>2.部门决算中项目绩效自评结果</w:t>
      </w:r>
      <w:r>
        <w:rPr>
          <w:rFonts w:hint="eastAsia" w:ascii="仿宋" w:hAnsi="仿宋" w:eastAsia="仿宋" w:cs="Arial"/>
          <w:sz w:val="32"/>
          <w:szCs w:val="32"/>
        </w:rPr>
        <w:t>。</w:t>
      </w:r>
    </w:p>
    <w:p>
      <w:pPr>
        <w:spacing w:line="600" w:lineRule="atLeast"/>
        <w:ind w:firstLine="640"/>
        <w:jc w:val="both"/>
        <w:rPr>
          <w:rFonts w:hint="eastAsia" w:ascii="仿宋" w:hAnsi="仿宋" w:eastAsia="仿宋" w:cs="Arial"/>
          <w:sz w:val="32"/>
          <w:szCs w:val="32"/>
        </w:rPr>
      </w:pPr>
      <w:r>
        <w:rPr>
          <w:rFonts w:hint="eastAsia" w:ascii="仿宋" w:hAnsi="仿宋" w:eastAsia="仿宋" w:cs="Arial"/>
          <w:sz w:val="32"/>
          <w:szCs w:val="32"/>
        </w:rPr>
        <w:t>浙南科技城管理委员会在2020年度部门决算中反映科技口政策奖补经费及项目绩效自评结果。</w:t>
      </w:r>
    </w:p>
    <w:p>
      <w:pPr>
        <w:spacing w:line="600" w:lineRule="atLeast"/>
        <w:ind w:firstLine="640"/>
        <w:jc w:val="both"/>
        <w:rPr>
          <w:rFonts w:hint="eastAsia" w:ascii="仿宋" w:hAnsi="仿宋" w:eastAsia="仿宋"/>
          <w:sz w:val="32"/>
          <w:szCs w:val="32"/>
        </w:rPr>
      </w:pPr>
      <w:r>
        <w:rPr>
          <w:rFonts w:hint="eastAsia" w:ascii="仿宋" w:hAnsi="仿宋" w:eastAsia="仿宋" w:cs="Arial"/>
          <w:sz w:val="32"/>
          <w:szCs w:val="32"/>
        </w:rPr>
        <w:t>科技口政策奖补经费</w:t>
      </w:r>
      <w:r>
        <w:rPr>
          <w:rFonts w:hint="eastAsia" w:ascii="仿宋" w:hAnsi="仿宋" w:eastAsia="仿宋"/>
          <w:sz w:val="32"/>
          <w:szCs w:val="32"/>
        </w:rPr>
        <w:t>项目绩效自评综述：根据年初设定的绩效目标，项目自评得分100分，自评结论为“优秀”。项目全年预算数为3</w:t>
      </w:r>
      <w:r>
        <w:rPr>
          <w:rFonts w:hint="default" w:ascii="仿宋" w:hAnsi="仿宋" w:eastAsia="仿宋"/>
          <w:sz w:val="32"/>
          <w:szCs w:val="32"/>
          <w:lang w:val="en-US"/>
        </w:rPr>
        <w:t>,</w:t>
      </w:r>
      <w:r>
        <w:rPr>
          <w:rFonts w:hint="eastAsia" w:ascii="仿宋" w:hAnsi="仿宋" w:eastAsia="仿宋"/>
          <w:sz w:val="32"/>
          <w:szCs w:val="32"/>
        </w:rPr>
        <w:t>473万元，执行数为3</w:t>
      </w:r>
      <w:r>
        <w:rPr>
          <w:rFonts w:hint="default" w:ascii="仿宋" w:hAnsi="仿宋" w:eastAsia="仿宋"/>
          <w:sz w:val="32"/>
          <w:szCs w:val="32"/>
          <w:lang w:val="en-US"/>
        </w:rPr>
        <w:t>,</w:t>
      </w:r>
      <w:r>
        <w:rPr>
          <w:rFonts w:hint="eastAsia" w:ascii="仿宋" w:hAnsi="仿宋" w:eastAsia="仿宋"/>
          <w:sz w:val="32"/>
          <w:szCs w:val="32"/>
        </w:rPr>
        <w:t>243.69万元，完成预算的93.39%。项目绩效目标完成情况：按照有关政策企业补助、研发补助和科技项目等，实际完成了全部按有关要求进行支付。发现的问题及原因：预算及预期绩效目标编制水平不高，部分投入指标未见具体测算，产出、效果类关键指标未量化。下一步改进措施：加强预算编制水平，预算投入指标应有具体测算依据，规范申报产出和效果指标。</w:t>
      </w:r>
    </w:p>
    <w:p>
      <w:pPr>
        <w:jc w:val="center"/>
        <w:rPr>
          <w:rFonts w:ascii="方正小标宋简体" w:hAnsi="黑体" w:eastAsia="方正小标宋简体"/>
          <w:color w:val="000000"/>
          <w:sz w:val="36"/>
          <w:szCs w:val="36"/>
        </w:rPr>
      </w:pPr>
      <w:r>
        <w:rPr>
          <w:rFonts w:hint="eastAsia" w:ascii="方正小标宋简体" w:hAnsi="黑体" w:eastAsia="方正小标宋简体"/>
          <w:color w:val="000000"/>
          <w:sz w:val="36"/>
          <w:szCs w:val="36"/>
        </w:rPr>
        <w:t>温州浙南科技城管委会财政支出项目绩效评分表（</w:t>
      </w:r>
      <w:r>
        <w:rPr>
          <w:rFonts w:hint="eastAsia" w:ascii="方正小标宋简体" w:hAnsi="黑体" w:eastAsia="方正小标宋简体"/>
          <w:color w:val="000000"/>
          <w:sz w:val="36"/>
          <w:szCs w:val="36"/>
          <w:u w:val="single"/>
        </w:rPr>
        <w:t xml:space="preserve"> </w:t>
      </w:r>
      <w:r>
        <w:rPr>
          <w:rFonts w:hint="eastAsia" w:ascii="方正小标宋简体" w:hAnsi="黑体" w:eastAsia="方正小标宋简体"/>
          <w:color w:val="000000"/>
          <w:sz w:val="36"/>
          <w:szCs w:val="36"/>
          <w:u w:val="single"/>
          <w:lang w:val="en-US" w:eastAsia="zh-CN"/>
        </w:rPr>
        <w:t>2020</w:t>
      </w:r>
      <w:r>
        <w:rPr>
          <w:rFonts w:ascii="方正小标宋简体" w:hAnsi="黑体" w:eastAsia="方正小标宋简体"/>
          <w:color w:val="000000"/>
          <w:sz w:val="36"/>
          <w:szCs w:val="36"/>
          <w:u w:val="single"/>
        </w:rPr>
        <w:t xml:space="preserve"> </w:t>
      </w:r>
      <w:r>
        <w:rPr>
          <w:rFonts w:hint="eastAsia" w:ascii="方正小标宋简体" w:hAnsi="黑体" w:eastAsia="方正小标宋简体"/>
          <w:color w:val="000000"/>
          <w:sz w:val="36"/>
          <w:szCs w:val="36"/>
        </w:rPr>
        <w:t>年度）</w:t>
      </w:r>
    </w:p>
    <w:p>
      <w:pPr>
        <w:snapToGrid w:val="0"/>
        <w:spacing w:line="360" w:lineRule="exact"/>
        <w:ind w:right="420"/>
        <w:jc w:val="center"/>
        <w:rPr>
          <w:rFonts w:ascii="仿宋_GB2312" w:hAnsi="SimSun-ExtB" w:eastAsia="仿宋_GB2312"/>
          <w:color w:val="000000"/>
          <w:szCs w:val="21"/>
        </w:rPr>
      </w:pPr>
      <w:r>
        <w:rPr>
          <w:rFonts w:hint="eastAsia" w:ascii="仿宋_GB2312" w:hAnsi="宋体" w:eastAsia="仿宋_GB2312" w:cs="宋体"/>
          <w:color w:val="000000"/>
          <w:szCs w:val="21"/>
        </w:rPr>
        <w:t xml:space="preserve"> </w:t>
      </w:r>
      <w:r>
        <w:rPr>
          <w:rFonts w:ascii="仿宋_GB2312" w:hAnsi="宋体" w:eastAsia="仿宋_GB2312" w:cs="宋体"/>
          <w:color w:val="000000"/>
          <w:szCs w:val="21"/>
        </w:rPr>
        <w:t xml:space="preserve">                                                 </w:t>
      </w:r>
      <w:r>
        <w:rPr>
          <w:rFonts w:hint="eastAsia" w:ascii="仿宋_GB2312" w:hAnsi="宋体" w:eastAsia="仿宋_GB2312" w:cs="宋体"/>
          <w:color w:val="000000"/>
          <w:szCs w:val="21"/>
        </w:rPr>
        <w:t>金额单位：万元</w:t>
      </w:r>
    </w:p>
    <w:tbl>
      <w:tblPr>
        <w:tblStyle w:val="14"/>
        <w:tblW w:w="96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7"/>
        <w:gridCol w:w="989"/>
        <w:gridCol w:w="186"/>
        <w:gridCol w:w="1247"/>
        <w:gridCol w:w="1430"/>
        <w:gridCol w:w="1534"/>
        <w:gridCol w:w="1186"/>
        <w:gridCol w:w="271"/>
        <w:gridCol w:w="817"/>
        <w:gridCol w:w="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1287"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_GB2312" w:hAnsi="SimSun-ExtB" w:eastAsia="仿宋_GB2312"/>
                <w:color w:val="000000"/>
                <w:sz w:val="24"/>
              </w:rPr>
            </w:pPr>
            <w:r>
              <w:rPr>
                <w:rFonts w:hint="eastAsia" w:ascii="仿宋_GB2312" w:hAnsi="宋体" w:eastAsia="仿宋_GB2312" w:cs="宋体"/>
                <w:color w:val="000000"/>
                <w:sz w:val="24"/>
              </w:rPr>
              <w:t>项目单位</w:t>
            </w:r>
          </w:p>
          <w:p>
            <w:pPr>
              <w:snapToGrid w:val="0"/>
              <w:spacing w:line="320" w:lineRule="exact"/>
              <w:jc w:val="center"/>
              <w:rPr>
                <w:rFonts w:ascii="仿宋_GB2312" w:hAnsi="SimSun-ExtB" w:eastAsia="仿宋_GB2312"/>
                <w:color w:val="000000"/>
                <w:sz w:val="24"/>
              </w:rPr>
            </w:pPr>
            <w:r>
              <w:rPr>
                <w:rFonts w:hint="eastAsia" w:ascii="仿宋_GB2312" w:hAnsi="宋体" w:eastAsia="仿宋_GB2312" w:cs="宋体"/>
                <w:color w:val="000000"/>
                <w:sz w:val="24"/>
              </w:rPr>
              <w:t>名称</w:t>
            </w:r>
          </w:p>
        </w:tc>
        <w:tc>
          <w:tcPr>
            <w:tcW w:w="2422"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20" w:lineRule="exact"/>
              <w:rPr>
                <w:rFonts w:ascii="仿宋_GB2312" w:hAnsi="SimSun-ExtB" w:eastAsia="仿宋_GB2312"/>
                <w:color w:val="000000"/>
                <w:sz w:val="24"/>
              </w:rPr>
            </w:pPr>
            <w:r>
              <w:rPr>
                <w:rFonts w:hint="eastAsia" w:ascii="仿宋_GB2312" w:hAnsi="宋体" w:eastAsia="仿宋_GB2312" w:cs="宋体"/>
                <w:color w:val="000000"/>
                <w:sz w:val="24"/>
              </w:rPr>
              <w:t>（盖章）</w:t>
            </w:r>
          </w:p>
        </w:tc>
        <w:tc>
          <w:tcPr>
            <w:tcW w:w="1430"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_GB2312" w:hAnsi="SimSun-ExtB" w:eastAsia="仿宋_GB2312"/>
                <w:color w:val="000000"/>
                <w:sz w:val="24"/>
              </w:rPr>
            </w:pPr>
            <w:r>
              <w:rPr>
                <w:rFonts w:hint="eastAsia" w:ascii="仿宋_GB2312" w:hAnsi="宋体" w:eastAsia="仿宋_GB2312" w:cs="宋体"/>
                <w:color w:val="000000"/>
                <w:sz w:val="24"/>
              </w:rPr>
              <w:t>项目名称</w:t>
            </w:r>
          </w:p>
        </w:tc>
        <w:tc>
          <w:tcPr>
            <w:tcW w:w="4523" w:type="dxa"/>
            <w:gridSpan w:val="5"/>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_GB2312" w:hAnsi="SimSun-ExtB" w:eastAsia="仿宋_GB2312"/>
                <w:color w:val="000000"/>
                <w:sz w:val="24"/>
              </w:rPr>
            </w:pPr>
            <w:r>
              <w:rPr>
                <w:rFonts w:hint="eastAsia" w:ascii="仿宋_GB2312" w:hAnsi="宋体" w:eastAsia="仿宋_GB2312" w:cs="仿宋_GB2312"/>
                <w:i w:val="0"/>
                <w:color w:val="000000"/>
                <w:kern w:val="0"/>
                <w:sz w:val="28"/>
                <w:szCs w:val="28"/>
                <w:u w:val="none"/>
                <w:lang w:val="en-US" w:eastAsia="zh-CN" w:bidi="ar"/>
              </w:rPr>
              <w:t>科技口政策奖补经费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1287"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_GB2312" w:hAnsi="SimSun-ExtB" w:eastAsia="仿宋_GB2312"/>
                <w:color w:val="000000"/>
                <w:sz w:val="24"/>
              </w:rPr>
            </w:pPr>
            <w:r>
              <w:rPr>
                <w:rFonts w:hint="eastAsia" w:ascii="仿宋_GB2312" w:hAnsi="宋体" w:eastAsia="仿宋_GB2312" w:cs="宋体"/>
                <w:color w:val="000000"/>
                <w:sz w:val="24"/>
              </w:rPr>
              <w:t>项目</w:t>
            </w:r>
          </w:p>
          <w:p>
            <w:pPr>
              <w:snapToGrid w:val="0"/>
              <w:spacing w:line="320" w:lineRule="exact"/>
              <w:jc w:val="center"/>
              <w:rPr>
                <w:rFonts w:ascii="仿宋_GB2312" w:hAnsi="SimSun-ExtB" w:eastAsia="仿宋_GB2312"/>
                <w:color w:val="000000"/>
                <w:sz w:val="24"/>
              </w:rPr>
            </w:pPr>
            <w:r>
              <w:rPr>
                <w:rFonts w:hint="eastAsia" w:ascii="仿宋_GB2312" w:hAnsi="宋体" w:eastAsia="仿宋_GB2312" w:cs="宋体"/>
                <w:color w:val="000000"/>
                <w:sz w:val="24"/>
              </w:rPr>
              <w:t>主管部门</w:t>
            </w:r>
          </w:p>
        </w:tc>
        <w:tc>
          <w:tcPr>
            <w:tcW w:w="2422"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_GB2312" w:hAnsi="SimSun-ExtB" w:eastAsia="仿宋_GB2312"/>
                <w:color w:val="000000"/>
                <w:sz w:val="24"/>
              </w:rPr>
            </w:pPr>
            <w:r>
              <w:rPr>
                <w:rFonts w:hint="eastAsia" w:ascii="仿宋_GB2312" w:hAnsi="SimSun-ExtB" w:eastAsia="仿宋_GB2312"/>
                <w:color w:val="000000" w:themeColor="text1"/>
                <w:sz w:val="24"/>
                <w:lang w:val="en-US" w:eastAsia="zh-CN"/>
                <w14:textFill>
                  <w14:solidFill>
                    <w14:schemeClr w14:val="tx1"/>
                  </w14:solidFill>
                </w14:textFill>
              </w:rPr>
              <w:t>经济发展局</w:t>
            </w:r>
          </w:p>
        </w:tc>
        <w:tc>
          <w:tcPr>
            <w:tcW w:w="1430"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_GB2312" w:hAnsi="SimSun-ExtB" w:eastAsia="仿宋_GB2312"/>
                <w:color w:val="000000"/>
                <w:sz w:val="24"/>
              </w:rPr>
            </w:pPr>
            <w:r>
              <w:rPr>
                <w:rFonts w:hint="eastAsia" w:ascii="仿宋_GB2312" w:hAnsi="宋体" w:eastAsia="仿宋_GB2312" w:cs="宋体"/>
                <w:color w:val="000000"/>
                <w:sz w:val="24"/>
              </w:rPr>
              <w:t>项目负责人</w:t>
            </w:r>
          </w:p>
        </w:tc>
        <w:tc>
          <w:tcPr>
            <w:tcW w:w="1534"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hint="eastAsia" w:ascii="仿宋_GB2312" w:hAnsi="SimSun-ExtB" w:eastAsia="仿宋_GB2312"/>
                <w:color w:val="000000"/>
                <w:sz w:val="24"/>
                <w:lang w:val="en-US" w:eastAsia="zh-CN"/>
              </w:rPr>
            </w:pPr>
            <w:r>
              <w:rPr>
                <w:rFonts w:hint="eastAsia" w:ascii="宋体" w:hAnsi="宋体" w:eastAsia="仿宋_GB2312" w:cs="宋体"/>
                <w:kern w:val="0"/>
                <w:szCs w:val="21"/>
                <w:lang w:eastAsia="zh-CN" w:bidi="ar"/>
              </w:rPr>
              <w:t>姜罗克</w:t>
            </w:r>
          </w:p>
        </w:tc>
        <w:tc>
          <w:tcPr>
            <w:tcW w:w="1186"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_GB2312" w:hAnsi="SimSun-ExtB" w:eastAsia="仿宋_GB2312"/>
                <w:color w:val="000000"/>
                <w:sz w:val="24"/>
              </w:rPr>
            </w:pPr>
            <w:r>
              <w:rPr>
                <w:rFonts w:hint="eastAsia" w:ascii="仿宋_GB2312" w:hAnsi="宋体" w:eastAsia="仿宋_GB2312" w:cs="宋体"/>
                <w:color w:val="000000"/>
                <w:sz w:val="24"/>
              </w:rPr>
              <w:t>联系电话</w:t>
            </w:r>
          </w:p>
        </w:tc>
        <w:tc>
          <w:tcPr>
            <w:tcW w:w="1803"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_GB2312" w:hAnsi="SimSun-ExtB" w:eastAsia="仿宋_GB2312"/>
                <w:color w:val="000000"/>
                <w:sz w:val="24"/>
              </w:rPr>
            </w:pPr>
            <w:r>
              <w:rPr>
                <w:rFonts w:hint="eastAsia" w:ascii="宋体" w:hAnsi="宋体" w:cs="宋体"/>
                <w:kern w:val="0"/>
                <w:szCs w:val="21"/>
                <w:lang w:bidi="ar"/>
              </w:rPr>
              <w:t>15867766608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1287"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_GB2312" w:hAnsi="SimSun-ExtB" w:eastAsia="仿宋_GB2312"/>
                <w:color w:val="000000"/>
                <w:sz w:val="24"/>
              </w:rPr>
            </w:pPr>
            <w:r>
              <w:rPr>
                <w:rFonts w:hint="eastAsia" w:ascii="仿宋_GB2312" w:hAnsi="宋体" w:eastAsia="仿宋_GB2312" w:cs="宋体"/>
                <w:color w:val="000000"/>
                <w:sz w:val="24"/>
              </w:rPr>
              <w:t>项目</w:t>
            </w:r>
          </w:p>
          <w:p>
            <w:pPr>
              <w:snapToGrid w:val="0"/>
              <w:spacing w:line="320" w:lineRule="exact"/>
              <w:jc w:val="center"/>
              <w:rPr>
                <w:rFonts w:ascii="仿宋_GB2312" w:hAnsi="SimSun-ExtB" w:eastAsia="仿宋_GB2312"/>
                <w:color w:val="000000"/>
                <w:sz w:val="24"/>
              </w:rPr>
            </w:pPr>
            <w:r>
              <w:rPr>
                <w:rFonts w:hint="eastAsia" w:ascii="仿宋_GB2312" w:hAnsi="宋体" w:eastAsia="仿宋_GB2312" w:cs="宋体"/>
                <w:color w:val="000000"/>
                <w:sz w:val="24"/>
              </w:rPr>
              <w:t>基本</w:t>
            </w:r>
          </w:p>
          <w:p>
            <w:pPr>
              <w:snapToGrid w:val="0"/>
              <w:spacing w:line="320" w:lineRule="exact"/>
              <w:jc w:val="center"/>
              <w:rPr>
                <w:rFonts w:ascii="仿宋_GB2312" w:hAnsi="SimSun-ExtB" w:eastAsia="仿宋_GB2312"/>
                <w:color w:val="000000"/>
                <w:sz w:val="24"/>
              </w:rPr>
            </w:pPr>
            <w:r>
              <w:rPr>
                <w:rFonts w:hint="eastAsia" w:ascii="仿宋_GB2312" w:hAnsi="宋体" w:eastAsia="仿宋_GB2312" w:cs="宋体"/>
                <w:color w:val="000000"/>
                <w:sz w:val="24"/>
              </w:rPr>
              <w:t>情况</w:t>
            </w:r>
          </w:p>
        </w:tc>
        <w:tc>
          <w:tcPr>
            <w:tcW w:w="1175"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_GB2312" w:hAnsi="宋体" w:eastAsia="仿宋_GB2312" w:cs="宋体"/>
                <w:color w:val="000000"/>
                <w:sz w:val="24"/>
              </w:rPr>
            </w:pPr>
            <w:r>
              <w:rPr>
                <w:rFonts w:hint="eastAsia" w:ascii="仿宋_GB2312" w:hAnsi="宋体" w:eastAsia="仿宋_GB2312" w:cs="宋体"/>
                <w:color w:val="000000"/>
                <w:sz w:val="24"/>
              </w:rPr>
              <w:t>上年</w:t>
            </w:r>
          </w:p>
          <w:p>
            <w:pPr>
              <w:snapToGrid w:val="0"/>
              <w:spacing w:line="320" w:lineRule="exact"/>
              <w:jc w:val="center"/>
              <w:rPr>
                <w:rFonts w:ascii="仿宋_GB2312" w:hAnsi="SimSun-ExtB" w:eastAsia="仿宋_GB2312"/>
                <w:color w:val="000000"/>
                <w:sz w:val="24"/>
              </w:rPr>
            </w:pPr>
            <w:r>
              <w:rPr>
                <w:rFonts w:hint="eastAsia" w:ascii="仿宋_GB2312" w:hAnsi="宋体" w:eastAsia="仿宋_GB2312" w:cs="宋体"/>
                <w:color w:val="000000"/>
                <w:sz w:val="24"/>
              </w:rPr>
              <w:t>结转</w:t>
            </w:r>
          </w:p>
        </w:tc>
        <w:tc>
          <w:tcPr>
            <w:tcW w:w="1247"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_GB2312" w:hAnsi="SimSun-ExtB" w:eastAsia="仿宋_GB2312"/>
                <w:color w:val="000000"/>
                <w:sz w:val="24"/>
              </w:rPr>
            </w:pPr>
            <w:r>
              <w:rPr>
                <w:rFonts w:hint="eastAsia" w:ascii="仿宋_GB2312" w:hAnsi="宋体" w:eastAsia="仿宋_GB2312" w:cs="宋体"/>
                <w:color w:val="000000"/>
                <w:sz w:val="24"/>
              </w:rPr>
              <w:t>年初预算安排数</w:t>
            </w:r>
          </w:p>
        </w:tc>
        <w:tc>
          <w:tcPr>
            <w:tcW w:w="1430"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_GB2312" w:hAnsi="SimSun-ExtB" w:eastAsia="仿宋_GB2312"/>
                <w:color w:val="000000"/>
                <w:sz w:val="24"/>
              </w:rPr>
            </w:pPr>
            <w:r>
              <w:rPr>
                <w:rFonts w:hint="eastAsia" w:ascii="仿宋_GB2312" w:hAnsi="宋体" w:eastAsia="仿宋_GB2312" w:cs="宋体"/>
                <w:color w:val="000000"/>
                <w:sz w:val="24"/>
              </w:rPr>
              <w:t>预算调整数</w:t>
            </w:r>
          </w:p>
        </w:tc>
        <w:tc>
          <w:tcPr>
            <w:tcW w:w="1534"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_GB2312" w:hAnsi="SimSun-ExtB" w:eastAsia="仿宋_GB2312"/>
                <w:color w:val="000000"/>
                <w:sz w:val="24"/>
              </w:rPr>
            </w:pPr>
            <w:r>
              <w:rPr>
                <w:rFonts w:hint="eastAsia" w:ascii="仿宋_GB2312" w:hAnsi="宋体" w:eastAsia="仿宋_GB2312" w:cs="宋体"/>
                <w:color w:val="000000"/>
                <w:sz w:val="24"/>
              </w:rPr>
              <w:t>财政支付数</w:t>
            </w:r>
          </w:p>
        </w:tc>
        <w:tc>
          <w:tcPr>
            <w:tcW w:w="2989"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_GB2312" w:hAnsi="SimSun-ExtB" w:eastAsia="仿宋_GB2312"/>
                <w:color w:val="000000"/>
                <w:sz w:val="24"/>
              </w:rPr>
            </w:pPr>
            <w:r>
              <w:rPr>
                <w:rFonts w:hint="eastAsia" w:ascii="仿宋_GB2312" w:hAnsi="宋体" w:eastAsia="仿宋_GB2312" w:cs="宋体"/>
                <w:color w:val="000000"/>
                <w:sz w:val="24"/>
              </w:rPr>
              <w:t>预算结余数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SimSun-ExtB" w:eastAsia="仿宋_GB2312"/>
                <w:color w:val="000000"/>
                <w:sz w:val="24"/>
              </w:rPr>
            </w:pPr>
          </w:p>
        </w:tc>
        <w:tc>
          <w:tcPr>
            <w:tcW w:w="1175"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hint="eastAsia" w:ascii="仿宋_GB2312" w:hAnsi="SimSun-ExtB" w:eastAsia="仿宋_GB2312"/>
                <w:color w:val="000000"/>
                <w:sz w:val="24"/>
                <w:lang w:val="en-US" w:eastAsia="zh-CN"/>
              </w:rPr>
            </w:pPr>
            <w:r>
              <w:rPr>
                <w:rFonts w:hint="eastAsia" w:ascii="仿宋_GB2312" w:hAnsi="SimSun-ExtB" w:eastAsia="仿宋_GB2312"/>
                <w:color w:val="000000"/>
                <w:sz w:val="24"/>
                <w:lang w:val="en-US" w:eastAsia="zh-CN"/>
              </w:rPr>
              <w:t>0</w:t>
            </w:r>
          </w:p>
        </w:tc>
        <w:tc>
          <w:tcPr>
            <w:tcW w:w="124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3473</w:t>
            </w:r>
          </w:p>
        </w:tc>
        <w:tc>
          <w:tcPr>
            <w:tcW w:w="14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3473</w:t>
            </w:r>
          </w:p>
        </w:tc>
        <w:tc>
          <w:tcPr>
            <w:tcW w:w="15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3243.69</w:t>
            </w:r>
          </w:p>
        </w:tc>
        <w:tc>
          <w:tcPr>
            <w:tcW w:w="2989"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hint="default" w:ascii="仿宋_GB2312" w:hAnsi="SimSun-ExtB" w:eastAsia="仿宋_GB2312"/>
                <w:color w:val="000000"/>
                <w:sz w:val="24"/>
                <w:lang w:val="en-US" w:eastAsia="zh-CN"/>
              </w:rPr>
            </w:pPr>
            <w:r>
              <w:rPr>
                <w:rFonts w:hint="eastAsia" w:ascii="仿宋_GB2312" w:hAnsi="SimSun-ExtB" w:eastAsia="仿宋_GB2312"/>
                <w:color w:val="000000"/>
                <w:sz w:val="24"/>
                <w:lang w:val="en-US" w:eastAsia="zh-CN"/>
              </w:rPr>
              <w:t>229.31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1287" w:type="dxa"/>
            <w:tcBorders>
              <w:top w:val="single" w:color="auto" w:sz="4" w:space="0"/>
              <w:left w:val="single" w:color="auto" w:sz="4" w:space="0"/>
              <w:bottom w:val="nil"/>
              <w:right w:val="single" w:color="auto" w:sz="4" w:space="0"/>
            </w:tcBorders>
            <w:vAlign w:val="center"/>
          </w:tcPr>
          <w:p>
            <w:pPr>
              <w:spacing w:line="320" w:lineRule="exact"/>
              <w:jc w:val="center"/>
              <w:rPr>
                <w:rFonts w:ascii="仿宋_GB2312" w:hAnsi="SimSun-ExtB" w:eastAsia="仿宋_GB2312"/>
                <w:b/>
                <w:sz w:val="24"/>
              </w:rPr>
            </w:pPr>
            <w:r>
              <w:rPr>
                <w:rFonts w:hint="eastAsia" w:ascii="仿宋_GB2312" w:hAnsi="宋体" w:eastAsia="仿宋_GB2312" w:cs="宋体"/>
                <w:b/>
                <w:sz w:val="24"/>
              </w:rPr>
              <w:t>评价内容</w:t>
            </w:r>
          </w:p>
        </w:tc>
        <w:tc>
          <w:tcPr>
            <w:tcW w:w="989" w:type="dxa"/>
            <w:tcBorders>
              <w:top w:val="single" w:color="auto" w:sz="4" w:space="0"/>
              <w:left w:val="single" w:color="auto" w:sz="4" w:space="0"/>
              <w:bottom w:val="nil"/>
              <w:right w:val="single" w:color="auto" w:sz="4" w:space="0"/>
            </w:tcBorders>
            <w:vAlign w:val="center"/>
          </w:tcPr>
          <w:p>
            <w:pPr>
              <w:spacing w:line="320" w:lineRule="exact"/>
              <w:jc w:val="center"/>
              <w:rPr>
                <w:rFonts w:ascii="仿宋_GB2312" w:hAnsi="SimSun-ExtB" w:eastAsia="仿宋_GB2312"/>
                <w:b/>
                <w:sz w:val="24"/>
              </w:rPr>
            </w:pPr>
            <w:r>
              <w:rPr>
                <w:rFonts w:hint="eastAsia" w:ascii="仿宋_GB2312" w:hAnsi="宋体" w:eastAsia="仿宋_GB2312" w:cs="宋体"/>
                <w:b/>
                <w:sz w:val="24"/>
              </w:rPr>
              <w:t>分值</w:t>
            </w:r>
          </w:p>
        </w:tc>
        <w:tc>
          <w:tcPr>
            <w:tcW w:w="5854" w:type="dxa"/>
            <w:gridSpan w:val="6"/>
            <w:tcBorders>
              <w:top w:val="single" w:color="auto" w:sz="4" w:space="0"/>
              <w:left w:val="single" w:color="auto" w:sz="4" w:space="0"/>
              <w:bottom w:val="nil"/>
              <w:right w:val="single" w:color="auto" w:sz="4" w:space="0"/>
            </w:tcBorders>
            <w:vAlign w:val="center"/>
          </w:tcPr>
          <w:p>
            <w:pPr>
              <w:spacing w:line="320" w:lineRule="exact"/>
              <w:jc w:val="center"/>
              <w:rPr>
                <w:rFonts w:ascii="仿宋_GB2312" w:hAnsi="SimSun-ExtB" w:eastAsia="仿宋_GB2312"/>
                <w:b/>
                <w:sz w:val="24"/>
              </w:rPr>
            </w:pPr>
            <w:r>
              <w:rPr>
                <w:rFonts w:hint="eastAsia" w:ascii="仿宋_GB2312" w:hAnsi="宋体" w:eastAsia="仿宋_GB2312" w:cs="宋体"/>
                <w:b/>
                <w:sz w:val="24"/>
              </w:rPr>
              <w:t>评价简述</w:t>
            </w:r>
          </w:p>
        </w:tc>
        <w:tc>
          <w:tcPr>
            <w:tcW w:w="817" w:type="dxa"/>
            <w:tcBorders>
              <w:top w:val="single" w:color="auto" w:sz="4" w:space="0"/>
              <w:left w:val="single" w:color="auto" w:sz="4" w:space="0"/>
              <w:bottom w:val="nil"/>
              <w:right w:val="single" w:color="auto" w:sz="4" w:space="0"/>
            </w:tcBorders>
            <w:vAlign w:val="center"/>
          </w:tcPr>
          <w:p>
            <w:pPr>
              <w:spacing w:line="320" w:lineRule="exact"/>
              <w:jc w:val="center"/>
              <w:rPr>
                <w:rFonts w:ascii="仿宋_GB2312" w:hAnsi="SimSun-ExtB" w:eastAsia="仿宋_GB2312"/>
                <w:b/>
                <w:sz w:val="24"/>
              </w:rPr>
            </w:pPr>
            <w:r>
              <w:rPr>
                <w:rFonts w:hint="eastAsia" w:ascii="仿宋_GB2312" w:hAnsi="宋体" w:eastAsia="仿宋_GB2312" w:cs="宋体"/>
                <w:b/>
                <w:sz w:val="24"/>
              </w:rPr>
              <w:t>自评得分</w:t>
            </w:r>
          </w:p>
        </w:tc>
        <w:tc>
          <w:tcPr>
            <w:tcW w:w="715" w:type="dxa"/>
            <w:tcBorders>
              <w:top w:val="single" w:color="auto" w:sz="4" w:space="0"/>
              <w:left w:val="single" w:color="auto" w:sz="4" w:space="0"/>
              <w:bottom w:val="nil"/>
              <w:right w:val="single" w:color="auto" w:sz="4" w:space="0"/>
            </w:tcBorders>
            <w:vAlign w:val="center"/>
          </w:tcPr>
          <w:p>
            <w:pPr>
              <w:spacing w:line="320" w:lineRule="exact"/>
              <w:jc w:val="center"/>
              <w:rPr>
                <w:rFonts w:ascii="仿宋_GB2312" w:hAnsi="SimSun-ExtB" w:eastAsia="仿宋_GB2312"/>
                <w:b/>
                <w:sz w:val="24"/>
              </w:rPr>
            </w:pPr>
            <w:r>
              <w:rPr>
                <w:rFonts w:hint="eastAsia" w:ascii="仿宋_GB2312" w:hAnsi="宋体" w:eastAsia="仿宋_GB2312" w:cs="宋体"/>
                <w:b/>
                <w:sz w:val="24"/>
              </w:rPr>
              <w:t>复评得分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7" w:hRule="atLeast"/>
          <w:jc w:val="center"/>
        </w:trPr>
        <w:tc>
          <w:tcPr>
            <w:tcW w:w="128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SimSun-ExtB" w:eastAsia="仿宋_GB2312"/>
                <w:color w:val="000000"/>
                <w:sz w:val="24"/>
              </w:rPr>
            </w:pPr>
            <w:r>
              <w:rPr>
                <w:rFonts w:hint="eastAsia" w:ascii="仿宋_GB2312" w:hAnsi="宋体" w:eastAsia="仿宋_GB2312" w:cs="宋体"/>
                <w:color w:val="000000"/>
                <w:sz w:val="24"/>
              </w:rPr>
              <w:t>项目预算及预期绩效目标编制水平</w:t>
            </w:r>
          </w:p>
        </w:tc>
        <w:tc>
          <w:tcPr>
            <w:tcW w:w="98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SimSun-ExtB" w:eastAsia="仿宋_GB2312"/>
                <w:color w:val="FF0000"/>
                <w:sz w:val="24"/>
              </w:rPr>
            </w:pPr>
            <w:r>
              <w:rPr>
                <w:rFonts w:hint="eastAsia" w:ascii="仿宋_GB2312" w:hAnsi="SimSun-ExtB" w:eastAsia="仿宋_GB2312"/>
                <w:sz w:val="24"/>
              </w:rPr>
              <w:t>10</w:t>
            </w:r>
          </w:p>
        </w:tc>
        <w:tc>
          <w:tcPr>
            <w:tcW w:w="5854"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仿宋_GB2312" w:hAnsi="SimSun-ExtB" w:eastAsia="仿宋_GB2312"/>
                <w:color w:val="000000"/>
                <w:sz w:val="24"/>
              </w:rPr>
            </w:pPr>
            <w:r>
              <w:rPr>
                <w:rFonts w:hint="eastAsia" w:ascii="仿宋_GB2312" w:hAnsi="SimSun-ExtB" w:eastAsia="仿宋_GB2312"/>
                <w:color w:val="000000"/>
                <w:sz w:val="24"/>
              </w:rPr>
              <w:t>本项目预算（即投入目标）编制科学、规范、合理，预期绩效目标申报完整，产出、效果类关键性指标清晰、明确、量化，投入与项目产出、效果目标匹配。</w:t>
            </w:r>
          </w:p>
        </w:tc>
        <w:tc>
          <w:tcPr>
            <w:tcW w:w="81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仿宋_GB2312" w:hAnsi="SimSun-ExtB" w:eastAsia="仿宋_GB2312"/>
                <w:color w:val="000000"/>
                <w:sz w:val="24"/>
                <w:lang w:val="en-US" w:eastAsia="zh-CN"/>
              </w:rPr>
            </w:pPr>
            <w:r>
              <w:rPr>
                <w:rFonts w:hint="eastAsia" w:ascii="仿宋_GB2312" w:hAnsi="SimSun-ExtB" w:eastAsia="仿宋_GB2312"/>
                <w:color w:val="000000"/>
                <w:sz w:val="24"/>
                <w:lang w:val="en-US" w:eastAsia="zh-CN"/>
              </w:rPr>
              <w:t>10</w:t>
            </w:r>
          </w:p>
        </w:tc>
        <w:tc>
          <w:tcPr>
            <w:tcW w:w="71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SimSun-ExtB"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28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SimSun-ExtB" w:eastAsia="仿宋_GB2312"/>
                <w:color w:val="000000"/>
                <w:sz w:val="24"/>
              </w:rPr>
            </w:pPr>
            <w:r>
              <w:rPr>
                <w:rFonts w:hint="eastAsia" w:ascii="仿宋_GB2312" w:hAnsi="宋体" w:eastAsia="仿宋_GB2312" w:cs="宋体"/>
                <w:color w:val="000000"/>
                <w:sz w:val="24"/>
              </w:rPr>
              <w:t>预算执行率</w:t>
            </w:r>
          </w:p>
        </w:tc>
        <w:tc>
          <w:tcPr>
            <w:tcW w:w="98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SimSun-ExtB" w:eastAsia="仿宋_GB2312"/>
                <w:sz w:val="24"/>
              </w:rPr>
            </w:pPr>
            <w:r>
              <w:rPr>
                <w:rFonts w:hint="eastAsia" w:ascii="仿宋_GB2312" w:hAnsi="SimSun-ExtB" w:eastAsia="仿宋_GB2312"/>
                <w:sz w:val="24"/>
              </w:rPr>
              <w:t>10</w:t>
            </w:r>
          </w:p>
        </w:tc>
        <w:tc>
          <w:tcPr>
            <w:tcW w:w="5854"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仿宋_GB2312" w:hAnsi="SimSun-ExtB" w:eastAsia="仿宋_GB2312"/>
                <w:color w:val="000000"/>
                <w:sz w:val="24"/>
              </w:rPr>
            </w:pPr>
            <w:r>
              <w:rPr>
                <w:rFonts w:hint="eastAsia" w:ascii="仿宋_GB2312" w:hAnsi="SimSun-ExtB" w:eastAsia="仿宋_GB2312"/>
                <w:color w:val="000000"/>
                <w:sz w:val="24"/>
              </w:rPr>
              <w:t>该项目预算执行率为</w:t>
            </w:r>
            <w:r>
              <w:rPr>
                <w:rFonts w:hint="eastAsia" w:ascii="仿宋_GB2312" w:hAnsi="SimSun-ExtB" w:eastAsia="仿宋_GB2312"/>
                <w:color w:val="000000"/>
                <w:sz w:val="24"/>
                <w:lang w:val="en-US" w:eastAsia="zh-CN"/>
              </w:rPr>
              <w:t>93.40</w:t>
            </w:r>
            <w:r>
              <w:rPr>
                <w:rFonts w:hint="eastAsia" w:ascii="仿宋_GB2312" w:hAnsi="SimSun-ExtB" w:eastAsia="仿宋_GB2312"/>
                <w:color w:val="000000"/>
                <w:sz w:val="24"/>
              </w:rPr>
              <w:t>%。</w:t>
            </w:r>
          </w:p>
        </w:tc>
        <w:tc>
          <w:tcPr>
            <w:tcW w:w="81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仿宋_GB2312" w:hAnsi="SimSun-ExtB" w:eastAsia="仿宋_GB2312"/>
                <w:color w:val="000000"/>
                <w:sz w:val="24"/>
                <w:lang w:val="en-US" w:eastAsia="zh-CN"/>
              </w:rPr>
            </w:pPr>
            <w:r>
              <w:rPr>
                <w:rFonts w:hint="eastAsia" w:ascii="仿宋_GB2312" w:hAnsi="SimSun-ExtB" w:eastAsia="仿宋_GB2312"/>
                <w:color w:val="000000"/>
                <w:sz w:val="24"/>
                <w:lang w:val="en-US" w:eastAsia="zh-CN"/>
              </w:rPr>
              <w:t>10</w:t>
            </w:r>
          </w:p>
        </w:tc>
        <w:tc>
          <w:tcPr>
            <w:tcW w:w="71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SimSun-ExtB"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28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SimSun-ExtB" w:eastAsia="仿宋_GB2312"/>
                <w:color w:val="000000"/>
                <w:sz w:val="24"/>
              </w:rPr>
            </w:pPr>
            <w:r>
              <w:rPr>
                <w:rFonts w:hint="eastAsia" w:ascii="仿宋_GB2312" w:hAnsi="宋体" w:eastAsia="仿宋_GB2312" w:cs="宋体"/>
                <w:color w:val="000000"/>
                <w:sz w:val="24"/>
              </w:rPr>
              <w:t>项目组织管理水平</w:t>
            </w:r>
          </w:p>
        </w:tc>
        <w:tc>
          <w:tcPr>
            <w:tcW w:w="98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SimSun-ExtB" w:eastAsia="仿宋_GB2312"/>
                <w:sz w:val="24"/>
              </w:rPr>
            </w:pPr>
            <w:r>
              <w:rPr>
                <w:rFonts w:hint="eastAsia" w:ascii="仿宋_GB2312" w:hAnsi="SimSun-ExtB" w:eastAsia="仿宋_GB2312"/>
                <w:sz w:val="24"/>
              </w:rPr>
              <w:t>15</w:t>
            </w:r>
          </w:p>
        </w:tc>
        <w:tc>
          <w:tcPr>
            <w:tcW w:w="5854"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hAnsi="SimSun-ExtB" w:eastAsia="仿宋_GB2312"/>
                <w:color w:val="000000"/>
                <w:sz w:val="24"/>
              </w:rPr>
            </w:pPr>
            <w:r>
              <w:rPr>
                <w:rFonts w:hint="eastAsia" w:ascii="仿宋_GB2312" w:hAnsi="SimSun-ExtB" w:eastAsia="仿宋_GB2312"/>
                <w:color w:val="000000"/>
                <w:sz w:val="24"/>
              </w:rPr>
              <w:t>本项目严格按相关</w:t>
            </w:r>
            <w:r>
              <w:rPr>
                <w:rFonts w:hint="eastAsia" w:ascii="仿宋_GB2312" w:hAnsi="SimSun-ExtB" w:eastAsia="仿宋_GB2312"/>
                <w:color w:val="000000"/>
                <w:sz w:val="24"/>
                <w:lang w:val="en-US" w:eastAsia="zh-CN"/>
              </w:rPr>
              <w:t>市、区、管委会的政策和会议纪要执行</w:t>
            </w:r>
            <w:r>
              <w:rPr>
                <w:rFonts w:hint="eastAsia" w:ascii="仿宋_GB2312" w:hAnsi="SimSun-ExtB" w:eastAsia="仿宋_GB2312"/>
                <w:color w:val="000000"/>
                <w:sz w:val="24"/>
              </w:rPr>
              <w:t>执行。</w:t>
            </w:r>
          </w:p>
        </w:tc>
        <w:tc>
          <w:tcPr>
            <w:tcW w:w="81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仿宋_GB2312" w:hAnsi="SimSun-ExtB" w:eastAsia="仿宋_GB2312"/>
                <w:color w:val="000000"/>
                <w:sz w:val="24"/>
                <w:lang w:val="en-US" w:eastAsia="zh-CN"/>
              </w:rPr>
            </w:pPr>
            <w:r>
              <w:rPr>
                <w:rFonts w:hint="eastAsia" w:ascii="仿宋_GB2312" w:hAnsi="SimSun-ExtB" w:eastAsia="仿宋_GB2312"/>
                <w:color w:val="000000"/>
                <w:sz w:val="24"/>
                <w:lang w:val="en-US" w:eastAsia="zh-CN"/>
              </w:rPr>
              <w:t>15</w:t>
            </w:r>
          </w:p>
        </w:tc>
        <w:tc>
          <w:tcPr>
            <w:tcW w:w="71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SimSun-ExtB"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jc w:val="center"/>
        </w:trPr>
        <w:tc>
          <w:tcPr>
            <w:tcW w:w="128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SimSun-ExtB" w:eastAsia="仿宋_GB2312"/>
                <w:color w:val="000000"/>
                <w:sz w:val="24"/>
              </w:rPr>
            </w:pPr>
            <w:r>
              <w:rPr>
                <w:rFonts w:hint="eastAsia" w:ascii="仿宋_GB2312" w:hAnsi="宋体" w:eastAsia="仿宋_GB2312" w:cs="宋体"/>
                <w:color w:val="000000"/>
                <w:sz w:val="24"/>
              </w:rPr>
              <w:t>资金支出</w:t>
            </w:r>
          </w:p>
          <w:p>
            <w:pPr>
              <w:spacing w:line="320" w:lineRule="exact"/>
              <w:jc w:val="center"/>
              <w:rPr>
                <w:rFonts w:ascii="仿宋_GB2312" w:hAnsi="SimSun-ExtB" w:eastAsia="仿宋_GB2312"/>
                <w:color w:val="000000"/>
                <w:sz w:val="24"/>
              </w:rPr>
            </w:pPr>
            <w:r>
              <w:rPr>
                <w:rFonts w:hint="eastAsia" w:ascii="仿宋_GB2312" w:hAnsi="宋体" w:eastAsia="仿宋_GB2312" w:cs="宋体"/>
                <w:color w:val="000000"/>
                <w:sz w:val="24"/>
              </w:rPr>
              <w:t>合理合规</w:t>
            </w:r>
          </w:p>
        </w:tc>
        <w:tc>
          <w:tcPr>
            <w:tcW w:w="98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SimSun-ExtB" w:eastAsia="仿宋_GB2312"/>
                <w:sz w:val="24"/>
              </w:rPr>
            </w:pPr>
            <w:r>
              <w:rPr>
                <w:rFonts w:hint="eastAsia" w:ascii="仿宋_GB2312" w:hAnsi="SimSun-ExtB" w:eastAsia="仿宋_GB2312"/>
                <w:sz w:val="24"/>
              </w:rPr>
              <w:t>15</w:t>
            </w:r>
          </w:p>
        </w:tc>
        <w:tc>
          <w:tcPr>
            <w:tcW w:w="5854"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hAnsi="SimSun-ExtB" w:eastAsia="仿宋_GB2312"/>
                <w:color w:val="000000"/>
                <w:sz w:val="24"/>
              </w:rPr>
            </w:pPr>
            <w:r>
              <w:rPr>
                <w:rFonts w:hint="eastAsia" w:ascii="仿宋_GB2312" w:hAnsi="SimSun-ExtB" w:eastAsia="仿宋_GB2312"/>
                <w:color w:val="000000"/>
                <w:sz w:val="24"/>
              </w:rPr>
              <w:t>本年项目支出符合国家相关法律法规、</w:t>
            </w:r>
            <w:r>
              <w:rPr>
                <w:rFonts w:hint="eastAsia" w:ascii="仿宋_GB2312" w:hAnsi="宋体" w:eastAsia="仿宋_GB2312"/>
                <w:sz w:val="24"/>
              </w:rPr>
              <w:t>财务管理制度以等规定，且均在预算范围内，无与本项目预算不相符或无关的资金支出。</w:t>
            </w:r>
          </w:p>
        </w:tc>
        <w:tc>
          <w:tcPr>
            <w:tcW w:w="81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仿宋_GB2312" w:hAnsi="SimSun-ExtB" w:eastAsia="仿宋_GB2312"/>
                <w:color w:val="000000"/>
                <w:sz w:val="24"/>
                <w:lang w:val="en-US" w:eastAsia="zh-CN"/>
              </w:rPr>
            </w:pPr>
            <w:r>
              <w:rPr>
                <w:rFonts w:hint="eastAsia" w:ascii="仿宋_GB2312" w:hAnsi="SimSun-ExtB" w:eastAsia="仿宋_GB2312"/>
                <w:color w:val="000000"/>
                <w:sz w:val="24"/>
                <w:lang w:val="en-US" w:eastAsia="zh-CN"/>
              </w:rPr>
              <w:t>15</w:t>
            </w:r>
          </w:p>
        </w:tc>
        <w:tc>
          <w:tcPr>
            <w:tcW w:w="71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SimSun-ExtB"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128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SimSun-ExtB" w:eastAsia="仿宋_GB2312"/>
                <w:color w:val="000000"/>
                <w:sz w:val="24"/>
              </w:rPr>
            </w:pPr>
            <w:r>
              <w:rPr>
                <w:rFonts w:hint="eastAsia" w:ascii="仿宋_GB2312" w:hAnsi="宋体" w:eastAsia="仿宋_GB2312" w:cs="宋体"/>
                <w:color w:val="000000"/>
                <w:sz w:val="24"/>
              </w:rPr>
              <w:t>项目产出</w:t>
            </w:r>
          </w:p>
        </w:tc>
        <w:tc>
          <w:tcPr>
            <w:tcW w:w="98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SimSun-ExtB" w:eastAsia="仿宋_GB2312"/>
                <w:sz w:val="24"/>
              </w:rPr>
            </w:pPr>
            <w:r>
              <w:rPr>
                <w:rFonts w:hint="eastAsia" w:ascii="仿宋_GB2312" w:hAnsi="SimSun-ExtB" w:eastAsia="仿宋_GB2312"/>
                <w:sz w:val="24"/>
              </w:rPr>
              <w:t>30</w:t>
            </w:r>
          </w:p>
        </w:tc>
        <w:tc>
          <w:tcPr>
            <w:tcW w:w="5854" w:type="dxa"/>
            <w:gridSpan w:val="6"/>
            <w:tcBorders>
              <w:top w:val="single" w:color="auto" w:sz="4" w:space="0"/>
              <w:left w:val="single" w:color="auto" w:sz="4" w:space="0"/>
              <w:bottom w:val="nil"/>
              <w:right w:val="single" w:color="auto" w:sz="4" w:space="0"/>
            </w:tcBorders>
            <w:vAlign w:val="center"/>
          </w:tcPr>
          <w:p>
            <w:pPr>
              <w:spacing w:line="320" w:lineRule="exact"/>
              <w:rPr>
                <w:rFonts w:ascii="仿宋_GB2312" w:hAnsi="SimSun-ExtB" w:eastAsia="仿宋_GB2312"/>
                <w:color w:val="000000"/>
                <w:sz w:val="24"/>
              </w:rPr>
            </w:pPr>
            <w:r>
              <w:rPr>
                <w:rFonts w:hint="eastAsia" w:ascii="仿宋_GB2312" w:hAnsi="宋体" w:eastAsia="仿宋_GB2312"/>
                <w:sz w:val="24"/>
                <w:lang w:val="en-US" w:eastAsia="zh-CN"/>
              </w:rPr>
              <w:t>项目绩效产出目标为“按照有关政策企业补助、研发补助和科技项目等”，实际完成了全部按有关要求完成支付。</w:t>
            </w:r>
          </w:p>
        </w:tc>
        <w:tc>
          <w:tcPr>
            <w:tcW w:w="817" w:type="dxa"/>
            <w:tcBorders>
              <w:top w:val="single" w:color="auto" w:sz="4" w:space="0"/>
              <w:left w:val="single" w:color="auto" w:sz="4" w:space="0"/>
              <w:bottom w:val="nil"/>
              <w:right w:val="single" w:color="auto" w:sz="4" w:space="0"/>
            </w:tcBorders>
            <w:vAlign w:val="center"/>
          </w:tcPr>
          <w:p>
            <w:pPr>
              <w:spacing w:line="320" w:lineRule="exact"/>
              <w:jc w:val="center"/>
              <w:rPr>
                <w:rFonts w:hint="default" w:ascii="仿宋_GB2312" w:hAnsi="SimSun-ExtB" w:eastAsia="仿宋_GB2312"/>
                <w:color w:val="000000"/>
                <w:sz w:val="24"/>
                <w:lang w:val="en-US" w:eastAsia="zh-CN"/>
              </w:rPr>
            </w:pPr>
            <w:r>
              <w:rPr>
                <w:rFonts w:hint="eastAsia" w:ascii="仿宋_GB2312" w:hAnsi="SimSun-ExtB" w:eastAsia="仿宋_GB2312"/>
                <w:color w:val="000000"/>
                <w:sz w:val="24"/>
                <w:lang w:val="en-US" w:eastAsia="zh-CN"/>
              </w:rPr>
              <w:t>30</w:t>
            </w:r>
          </w:p>
        </w:tc>
        <w:tc>
          <w:tcPr>
            <w:tcW w:w="715" w:type="dxa"/>
            <w:tcBorders>
              <w:top w:val="single" w:color="auto" w:sz="4" w:space="0"/>
              <w:left w:val="single" w:color="auto" w:sz="4" w:space="0"/>
              <w:bottom w:val="nil"/>
              <w:right w:val="single" w:color="auto" w:sz="4" w:space="0"/>
            </w:tcBorders>
            <w:vAlign w:val="center"/>
          </w:tcPr>
          <w:p>
            <w:pPr>
              <w:spacing w:line="320" w:lineRule="exact"/>
              <w:jc w:val="center"/>
              <w:rPr>
                <w:rFonts w:ascii="仿宋_GB2312" w:hAnsi="SimSun-ExtB"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1287" w:type="dxa"/>
            <w:tcBorders>
              <w:top w:val="single" w:color="auto" w:sz="4" w:space="0"/>
              <w:left w:val="single" w:color="auto" w:sz="4" w:space="0"/>
              <w:bottom w:val="nil"/>
              <w:right w:val="single" w:color="auto" w:sz="4" w:space="0"/>
            </w:tcBorders>
            <w:vAlign w:val="center"/>
          </w:tcPr>
          <w:p>
            <w:pPr>
              <w:spacing w:line="320" w:lineRule="exact"/>
              <w:jc w:val="center"/>
              <w:rPr>
                <w:rFonts w:ascii="仿宋_GB2312" w:hAnsi="SimSun-ExtB" w:eastAsia="仿宋_GB2312"/>
                <w:color w:val="000000"/>
                <w:sz w:val="24"/>
              </w:rPr>
            </w:pPr>
            <w:r>
              <w:rPr>
                <w:rFonts w:hint="eastAsia" w:ascii="仿宋_GB2312" w:hAnsi="宋体" w:eastAsia="仿宋_GB2312" w:cs="宋体"/>
                <w:color w:val="000000"/>
                <w:sz w:val="24"/>
              </w:rPr>
              <w:t>项目效益（效果）</w:t>
            </w:r>
          </w:p>
        </w:tc>
        <w:tc>
          <w:tcPr>
            <w:tcW w:w="989" w:type="dxa"/>
            <w:tcBorders>
              <w:top w:val="single" w:color="auto" w:sz="4" w:space="0"/>
              <w:left w:val="single" w:color="auto" w:sz="4" w:space="0"/>
              <w:bottom w:val="nil"/>
              <w:right w:val="single" w:color="auto" w:sz="4" w:space="0"/>
            </w:tcBorders>
            <w:vAlign w:val="center"/>
          </w:tcPr>
          <w:p>
            <w:pPr>
              <w:spacing w:line="320" w:lineRule="exact"/>
              <w:jc w:val="center"/>
              <w:rPr>
                <w:rFonts w:ascii="仿宋_GB2312" w:hAnsi="SimSun-ExtB" w:eastAsia="仿宋_GB2312"/>
                <w:color w:val="000000"/>
                <w:sz w:val="24"/>
              </w:rPr>
            </w:pPr>
            <w:r>
              <w:rPr>
                <w:rFonts w:hint="eastAsia" w:ascii="仿宋_GB2312" w:hAnsi="SimSun-ExtB" w:eastAsia="仿宋_GB2312"/>
                <w:color w:val="000000"/>
                <w:sz w:val="24"/>
              </w:rPr>
              <w:t>20</w:t>
            </w:r>
          </w:p>
        </w:tc>
        <w:tc>
          <w:tcPr>
            <w:tcW w:w="5854" w:type="dxa"/>
            <w:gridSpan w:val="6"/>
            <w:tcBorders>
              <w:top w:val="single" w:color="auto" w:sz="4" w:space="0"/>
              <w:left w:val="single" w:color="auto" w:sz="4" w:space="0"/>
              <w:bottom w:val="nil"/>
              <w:right w:val="single" w:color="auto" w:sz="4" w:space="0"/>
            </w:tcBorders>
            <w:vAlign w:val="center"/>
          </w:tcPr>
          <w:p>
            <w:pPr>
              <w:spacing w:line="320" w:lineRule="exact"/>
              <w:rPr>
                <w:rFonts w:ascii="仿宋_GB2312" w:hAnsi="SimSun-ExtB" w:eastAsia="仿宋_GB2312"/>
                <w:color w:val="000000"/>
                <w:sz w:val="24"/>
              </w:rPr>
            </w:pPr>
            <w:r>
              <w:rPr>
                <w:rFonts w:hint="eastAsia" w:ascii="仿宋_GB2312" w:hAnsi="宋体" w:eastAsia="仿宋_GB2312"/>
                <w:sz w:val="24"/>
                <w:lang w:val="en-US" w:eastAsia="zh-CN"/>
              </w:rPr>
              <w:t>为辖区企业发展提供支持，促进企业转型升级，创造更大的经济效益，提供各类技术转移、技术开发、项目攻关和成果转化等服务，带动区域发展。</w:t>
            </w:r>
          </w:p>
        </w:tc>
        <w:tc>
          <w:tcPr>
            <w:tcW w:w="817" w:type="dxa"/>
            <w:tcBorders>
              <w:top w:val="single" w:color="auto" w:sz="4" w:space="0"/>
              <w:left w:val="single" w:color="auto" w:sz="4" w:space="0"/>
              <w:bottom w:val="nil"/>
              <w:right w:val="single" w:color="auto" w:sz="4" w:space="0"/>
            </w:tcBorders>
            <w:vAlign w:val="center"/>
          </w:tcPr>
          <w:p>
            <w:pPr>
              <w:spacing w:line="320" w:lineRule="exact"/>
              <w:jc w:val="center"/>
              <w:rPr>
                <w:rFonts w:hint="default" w:ascii="仿宋_GB2312" w:hAnsi="SimSun-ExtB" w:eastAsia="仿宋_GB2312"/>
                <w:color w:val="000000"/>
                <w:sz w:val="24"/>
                <w:lang w:val="en-US" w:eastAsia="zh-CN"/>
              </w:rPr>
            </w:pPr>
            <w:r>
              <w:rPr>
                <w:rFonts w:hint="eastAsia" w:ascii="仿宋_GB2312" w:hAnsi="SimSun-ExtB" w:eastAsia="仿宋_GB2312"/>
                <w:color w:val="000000"/>
                <w:sz w:val="24"/>
                <w:lang w:val="en-US" w:eastAsia="zh-CN"/>
              </w:rPr>
              <w:t>20</w:t>
            </w:r>
          </w:p>
        </w:tc>
        <w:tc>
          <w:tcPr>
            <w:tcW w:w="715" w:type="dxa"/>
            <w:tcBorders>
              <w:top w:val="single" w:color="auto" w:sz="4" w:space="0"/>
              <w:left w:val="single" w:color="auto" w:sz="4" w:space="0"/>
              <w:bottom w:val="nil"/>
              <w:right w:val="single" w:color="auto" w:sz="4" w:space="0"/>
            </w:tcBorders>
            <w:vAlign w:val="center"/>
          </w:tcPr>
          <w:p>
            <w:pPr>
              <w:spacing w:line="320" w:lineRule="exact"/>
              <w:jc w:val="center"/>
              <w:rPr>
                <w:rFonts w:ascii="仿宋_GB2312" w:hAnsi="SimSun-ExtB"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28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SimSun-ExtB" w:eastAsia="仿宋_GB2312"/>
                <w:color w:val="000000"/>
                <w:sz w:val="24"/>
              </w:rPr>
            </w:pPr>
            <w:r>
              <w:rPr>
                <w:rFonts w:hint="eastAsia" w:ascii="仿宋_GB2312" w:hAnsi="宋体" w:eastAsia="仿宋_GB2312" w:cs="宋体"/>
                <w:color w:val="000000"/>
                <w:sz w:val="24"/>
              </w:rPr>
              <w:t>小计</w:t>
            </w:r>
          </w:p>
        </w:tc>
        <w:tc>
          <w:tcPr>
            <w:tcW w:w="98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SimSun-ExtB" w:eastAsia="仿宋_GB2312"/>
                <w:color w:val="000000"/>
                <w:sz w:val="24"/>
              </w:rPr>
            </w:pPr>
            <w:r>
              <w:rPr>
                <w:rFonts w:hint="eastAsia" w:ascii="仿宋_GB2312" w:hAnsi="SimSun-ExtB" w:eastAsia="仿宋_GB2312"/>
                <w:color w:val="000000"/>
                <w:sz w:val="24"/>
              </w:rPr>
              <w:t>100</w:t>
            </w:r>
          </w:p>
        </w:tc>
        <w:tc>
          <w:tcPr>
            <w:tcW w:w="5854"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SimSun-ExtB" w:eastAsia="仿宋_GB2312"/>
                <w:color w:val="000000"/>
                <w:sz w:val="24"/>
              </w:rPr>
            </w:pPr>
            <w:r>
              <w:rPr>
                <w:rFonts w:hint="eastAsia" w:ascii="仿宋_GB2312" w:hAnsi="SimSun-ExtB" w:eastAsia="仿宋_GB2312"/>
                <w:color w:val="000000"/>
                <w:sz w:val="24"/>
              </w:rPr>
              <w:t>*</w:t>
            </w:r>
          </w:p>
        </w:tc>
        <w:tc>
          <w:tcPr>
            <w:tcW w:w="81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仿宋_GB2312" w:hAnsi="SimSun-ExtB" w:eastAsia="仿宋_GB2312"/>
                <w:color w:val="000000"/>
                <w:sz w:val="24"/>
                <w:lang w:val="en-US" w:eastAsia="zh-CN"/>
              </w:rPr>
            </w:pPr>
            <w:r>
              <w:rPr>
                <w:rFonts w:hint="eastAsia" w:ascii="仿宋_GB2312" w:hAnsi="SimSun-ExtB" w:eastAsia="仿宋_GB2312"/>
                <w:color w:val="000000"/>
                <w:sz w:val="24"/>
                <w:lang w:val="en-US" w:eastAsia="zh-CN"/>
              </w:rPr>
              <w:t>100</w:t>
            </w:r>
          </w:p>
        </w:tc>
        <w:tc>
          <w:tcPr>
            <w:tcW w:w="71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SimSun-ExtB"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28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cs="宋体"/>
                <w:sz w:val="24"/>
              </w:rPr>
            </w:pPr>
            <w:r>
              <w:rPr>
                <w:rFonts w:hint="eastAsia" w:ascii="仿宋_GB2312" w:hAnsi="宋体" w:eastAsia="仿宋_GB2312" w:cs="宋体"/>
                <w:sz w:val="24"/>
              </w:rPr>
              <w:t>负向指标</w:t>
            </w:r>
          </w:p>
        </w:tc>
        <w:tc>
          <w:tcPr>
            <w:tcW w:w="98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SimSun-ExtB" w:eastAsia="仿宋_GB2312"/>
                <w:sz w:val="24"/>
              </w:rPr>
            </w:pPr>
            <w:r>
              <w:rPr>
                <w:rFonts w:hint="eastAsia" w:ascii="仿宋_GB2312" w:hAnsi="SimSun-ExtB" w:eastAsia="仿宋_GB2312"/>
                <w:sz w:val="24"/>
              </w:rPr>
              <w:t>—</w:t>
            </w:r>
          </w:p>
        </w:tc>
        <w:tc>
          <w:tcPr>
            <w:tcW w:w="5854"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仿宋_GB2312" w:hAnsi="SimSun-ExtB" w:eastAsia="仿宋_GB2312"/>
                <w:sz w:val="24"/>
              </w:rPr>
            </w:pPr>
            <w:r>
              <w:rPr>
                <w:rFonts w:hint="eastAsia" w:ascii="仿宋_GB2312" w:hAnsi="SimSun-ExtB" w:eastAsia="仿宋_GB2312"/>
                <w:sz w:val="24"/>
              </w:rPr>
              <w:t>主要评价自评得分与复评得分差异率。差异率</w:t>
            </w:r>
            <w:r>
              <w:rPr>
                <w:rFonts w:hint="eastAsia" w:ascii="仿宋" w:hAnsi="仿宋" w:eastAsia="仿宋"/>
                <w:sz w:val="24"/>
              </w:rPr>
              <w:t>≤</w:t>
            </w:r>
            <w:r>
              <w:rPr>
                <w:rFonts w:hint="eastAsia" w:ascii="仿宋_GB2312" w:hAnsi="SimSun-ExtB" w:eastAsia="仿宋_GB2312"/>
                <w:sz w:val="24"/>
              </w:rPr>
              <w:t>10%，不扣分；10%&lt;差异率</w:t>
            </w:r>
            <w:r>
              <w:rPr>
                <w:rFonts w:hint="eastAsia" w:ascii="仿宋" w:hAnsi="仿宋" w:eastAsia="仿宋"/>
                <w:sz w:val="24"/>
              </w:rPr>
              <w:t>≤15%，扣2分；</w:t>
            </w:r>
            <w:r>
              <w:rPr>
                <w:rFonts w:hint="eastAsia" w:ascii="仿宋_GB2312" w:hAnsi="SimSun-ExtB" w:eastAsia="仿宋_GB2312"/>
                <w:sz w:val="24"/>
              </w:rPr>
              <w:t>15%&lt;差异率</w:t>
            </w:r>
            <w:r>
              <w:rPr>
                <w:rFonts w:hint="eastAsia" w:ascii="仿宋" w:hAnsi="仿宋" w:eastAsia="仿宋"/>
                <w:sz w:val="24"/>
              </w:rPr>
              <w:t>≤20%，扣4分；</w:t>
            </w:r>
            <w:r>
              <w:rPr>
                <w:rFonts w:hint="eastAsia" w:ascii="仿宋_GB2312" w:hAnsi="SimSun-ExtB" w:eastAsia="仿宋_GB2312"/>
                <w:sz w:val="24"/>
              </w:rPr>
              <w:t>差异率&gt;20%</w:t>
            </w:r>
            <w:r>
              <w:rPr>
                <w:rFonts w:hint="eastAsia" w:ascii="仿宋" w:hAnsi="仿宋" w:eastAsia="仿宋"/>
                <w:sz w:val="24"/>
              </w:rPr>
              <w:t>，扣6分。</w:t>
            </w:r>
          </w:p>
        </w:tc>
        <w:tc>
          <w:tcPr>
            <w:tcW w:w="817" w:type="dxa"/>
            <w:tcBorders>
              <w:top w:val="single" w:color="auto" w:sz="4" w:space="0"/>
              <w:left w:val="single" w:color="auto" w:sz="4" w:space="0"/>
              <w:bottom w:val="single" w:color="auto" w:sz="4" w:space="0"/>
              <w:right w:val="single" w:color="auto" w:sz="4" w:space="0"/>
              <w:tr2bl w:val="single" w:color="auto" w:sz="4" w:space="0"/>
            </w:tcBorders>
            <w:vAlign w:val="center"/>
          </w:tcPr>
          <w:p>
            <w:pPr>
              <w:spacing w:line="320" w:lineRule="exact"/>
              <w:jc w:val="center"/>
              <w:rPr>
                <w:rFonts w:ascii="仿宋_GB2312" w:hAnsi="SimSun-ExtB" w:eastAsia="仿宋_GB2312"/>
                <w:color w:val="000000"/>
                <w:sz w:val="24"/>
              </w:rPr>
            </w:pPr>
          </w:p>
        </w:tc>
        <w:tc>
          <w:tcPr>
            <w:tcW w:w="71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SimSun-ExtB"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28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cs="宋体"/>
                <w:color w:val="000000"/>
                <w:sz w:val="24"/>
              </w:rPr>
            </w:pPr>
            <w:r>
              <w:rPr>
                <w:rFonts w:hint="eastAsia" w:ascii="仿宋_GB2312" w:hAnsi="宋体" w:eastAsia="仿宋_GB2312" w:cs="宋体"/>
                <w:color w:val="000000"/>
                <w:sz w:val="24"/>
              </w:rPr>
              <w:t>合计</w:t>
            </w:r>
          </w:p>
        </w:tc>
        <w:tc>
          <w:tcPr>
            <w:tcW w:w="98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SimSun-ExtB" w:eastAsia="仿宋_GB2312"/>
                <w:color w:val="000000"/>
                <w:sz w:val="24"/>
              </w:rPr>
            </w:pPr>
            <w:r>
              <w:rPr>
                <w:rFonts w:hint="eastAsia" w:ascii="仿宋_GB2312" w:hAnsi="SimSun-ExtB" w:eastAsia="仿宋_GB2312"/>
                <w:color w:val="000000"/>
                <w:sz w:val="24"/>
              </w:rPr>
              <w:t>100</w:t>
            </w:r>
          </w:p>
        </w:tc>
        <w:tc>
          <w:tcPr>
            <w:tcW w:w="5854"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SimSun-ExtB" w:eastAsia="仿宋_GB2312"/>
                <w:color w:val="000000"/>
                <w:sz w:val="24"/>
              </w:rPr>
            </w:pPr>
            <w:r>
              <w:rPr>
                <w:rFonts w:hint="eastAsia" w:ascii="仿宋_GB2312" w:hAnsi="SimSun-ExtB" w:eastAsia="仿宋_GB2312"/>
                <w:color w:val="000000"/>
                <w:sz w:val="24"/>
              </w:rPr>
              <w:t>*</w:t>
            </w:r>
          </w:p>
        </w:tc>
        <w:tc>
          <w:tcPr>
            <w:tcW w:w="81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SimSun-ExtB" w:eastAsia="仿宋_GB2312"/>
                <w:color w:val="000000"/>
                <w:sz w:val="24"/>
              </w:rPr>
            </w:pPr>
          </w:p>
        </w:tc>
        <w:tc>
          <w:tcPr>
            <w:tcW w:w="71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SimSun-ExtB"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128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SimSun-ExtB" w:eastAsia="仿宋_GB2312"/>
                <w:color w:val="000000"/>
                <w:sz w:val="24"/>
              </w:rPr>
            </w:pPr>
            <w:r>
              <w:rPr>
                <w:rFonts w:hint="eastAsia" w:ascii="仿宋_GB2312" w:hAnsi="宋体" w:eastAsia="仿宋_GB2312" w:cs="宋体"/>
                <w:color w:val="000000"/>
                <w:sz w:val="24"/>
              </w:rPr>
              <w:t>评价结果</w:t>
            </w:r>
          </w:p>
        </w:tc>
        <w:tc>
          <w:tcPr>
            <w:tcW w:w="98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SimSun-ExtB" w:eastAsia="仿宋_GB2312"/>
                <w:color w:val="000000"/>
                <w:sz w:val="24"/>
              </w:rPr>
            </w:pPr>
          </w:p>
        </w:tc>
        <w:tc>
          <w:tcPr>
            <w:tcW w:w="7386" w:type="dxa"/>
            <w:gridSpan w:val="8"/>
            <w:tcBorders>
              <w:top w:val="single" w:color="auto" w:sz="4" w:space="0"/>
              <w:left w:val="single" w:color="auto" w:sz="4" w:space="0"/>
              <w:bottom w:val="single" w:color="auto" w:sz="4" w:space="0"/>
              <w:right w:val="single" w:color="auto" w:sz="4" w:space="0"/>
            </w:tcBorders>
            <w:vAlign w:val="center"/>
          </w:tcPr>
          <w:p>
            <w:pPr>
              <w:spacing w:line="320" w:lineRule="exact"/>
              <w:ind w:firstLine="240" w:firstLineChars="100"/>
              <w:jc w:val="left"/>
              <w:rPr>
                <w:rFonts w:ascii="仿宋_GB2312" w:hAnsi="SimSun-ExtB" w:eastAsia="仿宋_GB2312" w:cs="宋体"/>
                <w:sz w:val="24"/>
              </w:rPr>
            </w:pPr>
            <w:r>
              <w:rPr>
                <w:rFonts w:hint="eastAsia" w:ascii="仿宋_GB2312" w:hAnsi="宋体" w:eastAsia="仿宋_GB2312" w:cs="宋体"/>
                <w:sz w:val="24"/>
              </w:rPr>
              <w:t>□优秀</w:t>
            </w:r>
            <w:r>
              <w:rPr>
                <w:rFonts w:hint="eastAsia" w:ascii="仿宋_GB2312" w:hAnsi="SimSun-ExtB" w:eastAsia="仿宋_GB2312" w:cs="宋体"/>
                <w:sz w:val="24"/>
              </w:rPr>
              <w:t>90分</w:t>
            </w:r>
            <w:r>
              <w:rPr>
                <w:rFonts w:hint="eastAsia" w:ascii="仿宋" w:hAnsi="仿宋" w:eastAsia="仿宋" w:cs="宋体"/>
                <w:sz w:val="24"/>
              </w:rPr>
              <w:t>≤</w:t>
            </w:r>
            <w:r>
              <w:rPr>
                <w:rFonts w:hint="eastAsia" w:ascii="仿宋_GB2312" w:hAnsi="SimSun-ExtB" w:eastAsia="仿宋_GB2312" w:cs="宋体"/>
                <w:sz w:val="24"/>
              </w:rPr>
              <w:t>得分</w:t>
            </w:r>
            <w:r>
              <w:rPr>
                <w:rFonts w:hint="eastAsia" w:ascii="仿宋" w:hAnsi="仿宋" w:eastAsia="仿宋" w:cs="宋体"/>
                <w:sz w:val="24"/>
              </w:rPr>
              <w:t>≤</w:t>
            </w:r>
            <w:r>
              <w:rPr>
                <w:rFonts w:hint="eastAsia" w:ascii="仿宋_GB2312" w:hAnsi="SimSun-ExtB" w:eastAsia="仿宋_GB2312" w:cs="宋体"/>
                <w:sz w:val="24"/>
              </w:rPr>
              <w:t>100分</w:t>
            </w:r>
            <w:r>
              <w:rPr>
                <w:rFonts w:hint="eastAsia" w:ascii="仿宋_GB2312" w:hAnsi="宋体" w:eastAsia="仿宋_GB2312" w:cs="宋体"/>
                <w:sz w:val="24"/>
              </w:rPr>
              <w:t>；□良</w:t>
            </w:r>
            <w:r>
              <w:rPr>
                <w:rFonts w:ascii="仿宋_GB2312" w:hAnsi="SimSun-ExtB" w:eastAsia="仿宋_GB2312" w:cs="宋体"/>
                <w:sz w:val="24"/>
              </w:rPr>
              <w:t>80</w:t>
            </w:r>
            <w:r>
              <w:rPr>
                <w:rFonts w:hint="eastAsia" w:ascii="仿宋_GB2312" w:hAnsi="SimSun-ExtB" w:eastAsia="仿宋_GB2312" w:cs="宋体"/>
                <w:sz w:val="24"/>
              </w:rPr>
              <w:t>分</w:t>
            </w:r>
            <w:r>
              <w:rPr>
                <w:rFonts w:hint="eastAsia" w:ascii="仿宋" w:hAnsi="仿宋" w:eastAsia="仿宋" w:cs="宋体"/>
                <w:sz w:val="24"/>
              </w:rPr>
              <w:t>≤</w:t>
            </w:r>
            <w:r>
              <w:rPr>
                <w:rFonts w:hint="eastAsia" w:ascii="仿宋_GB2312" w:hAnsi="SimSun-ExtB" w:eastAsia="仿宋_GB2312" w:cs="宋体"/>
                <w:sz w:val="24"/>
              </w:rPr>
              <w:t>得分</w:t>
            </w:r>
            <w:r>
              <w:rPr>
                <w:rFonts w:hint="eastAsia" w:ascii="仿宋" w:hAnsi="仿宋" w:eastAsia="仿宋" w:cs="宋体"/>
                <w:sz w:val="24"/>
              </w:rPr>
              <w:t>＜90</w:t>
            </w:r>
            <w:r>
              <w:rPr>
                <w:rFonts w:hint="eastAsia" w:ascii="仿宋_GB2312" w:hAnsi="SimSun-ExtB" w:eastAsia="仿宋_GB2312" w:cs="宋体"/>
                <w:sz w:val="24"/>
              </w:rPr>
              <w:t>分</w:t>
            </w:r>
            <w:r>
              <w:rPr>
                <w:rFonts w:hint="eastAsia" w:ascii="仿宋_GB2312" w:hAnsi="宋体" w:eastAsia="仿宋_GB2312" w:cs="宋体"/>
                <w:sz w:val="24"/>
              </w:rPr>
              <w:t>；</w:t>
            </w:r>
          </w:p>
          <w:p>
            <w:pPr>
              <w:spacing w:line="320" w:lineRule="exact"/>
              <w:jc w:val="left"/>
              <w:rPr>
                <w:rFonts w:ascii="仿宋_GB2312" w:hAnsi="SimSun-ExtB" w:eastAsia="仿宋_GB2312"/>
                <w:color w:val="000000"/>
                <w:sz w:val="24"/>
              </w:rPr>
            </w:pPr>
            <w:r>
              <w:rPr>
                <w:rFonts w:hint="eastAsia" w:ascii="仿宋_GB2312" w:hAnsi="宋体" w:eastAsia="仿宋_GB2312" w:cs="宋体"/>
                <w:sz w:val="24"/>
              </w:rPr>
              <w:t>□中</w:t>
            </w:r>
            <w:r>
              <w:rPr>
                <w:rFonts w:hint="eastAsia" w:ascii="仿宋_GB2312" w:hAnsi="SimSun-ExtB" w:eastAsia="仿宋_GB2312" w:cs="宋体"/>
                <w:sz w:val="24"/>
              </w:rPr>
              <w:t>60分</w:t>
            </w:r>
            <w:r>
              <w:rPr>
                <w:rFonts w:hint="eastAsia" w:ascii="仿宋" w:hAnsi="仿宋" w:eastAsia="仿宋" w:cs="宋体"/>
                <w:sz w:val="24"/>
              </w:rPr>
              <w:t>≤</w:t>
            </w:r>
            <w:r>
              <w:rPr>
                <w:rFonts w:hint="eastAsia" w:ascii="仿宋_GB2312" w:hAnsi="SimSun-ExtB" w:eastAsia="仿宋_GB2312" w:cs="宋体"/>
                <w:sz w:val="24"/>
              </w:rPr>
              <w:t>得分</w:t>
            </w:r>
            <w:r>
              <w:rPr>
                <w:rFonts w:hint="eastAsia" w:ascii="仿宋" w:hAnsi="仿宋" w:eastAsia="仿宋" w:cs="宋体"/>
                <w:sz w:val="24"/>
              </w:rPr>
              <w:t>＜</w:t>
            </w:r>
            <w:r>
              <w:rPr>
                <w:rFonts w:ascii="仿宋" w:hAnsi="仿宋" w:eastAsia="仿宋" w:cs="宋体"/>
                <w:sz w:val="24"/>
              </w:rPr>
              <w:t>80</w:t>
            </w:r>
            <w:r>
              <w:rPr>
                <w:rFonts w:hint="eastAsia" w:ascii="仿宋_GB2312" w:hAnsi="SimSun-ExtB" w:eastAsia="仿宋_GB2312" w:cs="宋体"/>
                <w:sz w:val="24"/>
              </w:rPr>
              <w:t>分</w:t>
            </w:r>
            <w:r>
              <w:rPr>
                <w:rFonts w:hint="eastAsia" w:ascii="仿宋_GB2312" w:hAnsi="宋体" w:eastAsia="仿宋_GB2312" w:cs="宋体"/>
                <w:sz w:val="24"/>
              </w:rPr>
              <w:t xml:space="preserve">；□差 </w:t>
            </w:r>
            <w:r>
              <w:rPr>
                <w:rFonts w:hint="eastAsia" w:ascii="仿宋_GB2312" w:hAnsi="SimSun-ExtB" w:eastAsia="仿宋_GB2312" w:cs="宋体"/>
                <w:sz w:val="24"/>
              </w:rPr>
              <w:t>得分</w:t>
            </w:r>
            <w:r>
              <w:rPr>
                <w:rFonts w:hint="eastAsia" w:ascii="仿宋" w:hAnsi="仿宋" w:eastAsia="仿宋" w:cs="宋体"/>
                <w:sz w:val="24"/>
              </w:rPr>
              <w:t>＜60</w:t>
            </w:r>
            <w:r>
              <w:rPr>
                <w:rFonts w:hint="eastAsia" w:ascii="仿宋_GB2312" w:hAnsi="SimSun-ExtB" w:eastAsia="仿宋_GB2312" w:cs="宋体"/>
                <w:sz w:val="24"/>
              </w:rPr>
              <w:t>分</w:t>
            </w:r>
          </w:p>
        </w:tc>
      </w:tr>
    </w:tbl>
    <w:p>
      <w:pPr>
        <w:pStyle w:val="2"/>
        <w:rPr>
          <w:rFonts w:hint="eastAsia"/>
        </w:rPr>
      </w:pPr>
    </w:p>
    <w:p>
      <w:pPr>
        <w:spacing w:line="600" w:lineRule="atLeast"/>
        <w:ind w:firstLine="640" w:firstLineChars="200"/>
        <w:jc w:val="both"/>
        <w:rPr>
          <w:rFonts w:hint="eastAsia" w:ascii="仿宋" w:hAnsi="仿宋" w:eastAsia="仿宋"/>
          <w:sz w:val="32"/>
          <w:szCs w:val="32"/>
        </w:rPr>
      </w:pPr>
      <w:r>
        <w:rPr>
          <w:rFonts w:hint="eastAsia" w:ascii="仿宋" w:hAnsi="仿宋" w:eastAsia="仿宋"/>
          <w:sz w:val="32"/>
          <w:szCs w:val="32"/>
        </w:rPr>
        <w:t>创业服务中心政策补助奖励项目绩效自评综述：根据年初设定的绩效目标，项目自评得分100分，自评结论为“优秀”。项目全年预算数为8</w:t>
      </w:r>
      <w:r>
        <w:rPr>
          <w:rFonts w:hint="default" w:ascii="仿宋" w:hAnsi="仿宋" w:eastAsia="仿宋"/>
          <w:sz w:val="32"/>
          <w:szCs w:val="32"/>
          <w:lang w:val="en-US"/>
        </w:rPr>
        <w:t>,</w:t>
      </w:r>
      <w:r>
        <w:rPr>
          <w:rFonts w:hint="eastAsia" w:ascii="仿宋" w:hAnsi="仿宋" w:eastAsia="仿宋"/>
          <w:sz w:val="32"/>
          <w:szCs w:val="32"/>
        </w:rPr>
        <w:t>786.77万元，执行数为8</w:t>
      </w:r>
      <w:r>
        <w:rPr>
          <w:rFonts w:hint="default" w:ascii="仿宋" w:hAnsi="仿宋" w:eastAsia="仿宋"/>
          <w:sz w:val="32"/>
          <w:szCs w:val="32"/>
          <w:lang w:val="en-US"/>
        </w:rPr>
        <w:t>,</w:t>
      </w:r>
      <w:r>
        <w:rPr>
          <w:rFonts w:hint="eastAsia" w:ascii="仿宋" w:hAnsi="仿宋" w:eastAsia="仿宋"/>
          <w:sz w:val="32"/>
          <w:szCs w:val="32"/>
        </w:rPr>
        <w:t>140.75万元，完成预算的92.65%。项目绩效目标完成情况：一是完成资产移交前海创园、创业园场地租金支付、34家企业租金补助、15家企业知识产权补助；二是扶持初创、加速企业，构建创新创业生态系统，营造创新创业的良好环境，促进众创空间和企业高质量发展。发现的问题及原因：一是部分产出和效益指标未细化、量化，个别产出目标和效益目标内容一致；二是</w:t>
      </w:r>
      <w:r>
        <w:rPr>
          <w:rFonts w:hint="eastAsia" w:ascii="仿宋_GB2312" w:eastAsia="仿宋_GB2312"/>
          <w:sz w:val="32"/>
          <w:szCs w:val="32"/>
        </w:rPr>
        <w:t>预算期中调整后未及时调整项目绩效目标</w:t>
      </w:r>
      <w:r>
        <w:rPr>
          <w:rFonts w:hint="eastAsia" w:ascii="仿宋" w:hAnsi="仿宋" w:eastAsia="仿宋"/>
          <w:sz w:val="32"/>
          <w:szCs w:val="32"/>
        </w:rPr>
        <w:t>。下一步改进措施：一是</w:t>
      </w:r>
      <w:r>
        <w:rPr>
          <w:rFonts w:hint="eastAsia" w:ascii="仿宋_GB2312" w:eastAsia="仿宋_GB2312"/>
          <w:sz w:val="32"/>
          <w:szCs w:val="32"/>
        </w:rPr>
        <w:t>根据项目支出明细内容明确并进一步细化、量化项目预期绩效目标，提高财政资金使用效益</w:t>
      </w:r>
      <w:r>
        <w:rPr>
          <w:rFonts w:hint="eastAsia" w:ascii="仿宋" w:hAnsi="仿宋" w:eastAsia="仿宋"/>
          <w:sz w:val="32"/>
          <w:szCs w:val="32"/>
        </w:rPr>
        <w:t>；二是</w:t>
      </w:r>
      <w:r>
        <w:rPr>
          <w:rFonts w:hint="eastAsia" w:ascii="仿宋_GB2312" w:eastAsia="仿宋_GB2312"/>
          <w:sz w:val="32"/>
          <w:szCs w:val="32"/>
        </w:rPr>
        <w:t>期中根据预计进度测算预期支出，必要时调整预算金额，并调整相应的预期绩效目标申报表</w:t>
      </w:r>
      <w:r>
        <w:rPr>
          <w:rFonts w:hint="eastAsia" w:ascii="仿宋" w:hAnsi="仿宋" w:eastAsia="仿宋"/>
          <w:sz w:val="32"/>
          <w:szCs w:val="32"/>
        </w:rPr>
        <w:t>。</w:t>
      </w:r>
    </w:p>
    <w:p>
      <w:pPr>
        <w:jc w:val="center"/>
        <w:rPr>
          <w:rFonts w:ascii="方正小标宋简体" w:hAnsi="黑体" w:eastAsia="方正小标宋简体"/>
          <w:color w:val="000000"/>
          <w:sz w:val="36"/>
          <w:szCs w:val="36"/>
        </w:rPr>
      </w:pPr>
      <w:r>
        <w:rPr>
          <w:rFonts w:hint="eastAsia" w:ascii="方正小标宋简体" w:hAnsi="黑体" w:eastAsia="方正小标宋简体"/>
          <w:color w:val="000000"/>
          <w:sz w:val="36"/>
          <w:szCs w:val="36"/>
        </w:rPr>
        <w:t>温州浙南科技城管委会财政支出项目绩效评分表（</w:t>
      </w:r>
      <w:r>
        <w:rPr>
          <w:rFonts w:hint="eastAsia" w:ascii="方正小标宋简体" w:hAnsi="黑体" w:eastAsia="方正小标宋简体"/>
          <w:color w:val="000000"/>
          <w:sz w:val="36"/>
          <w:szCs w:val="36"/>
          <w:u w:val="single"/>
        </w:rPr>
        <w:t xml:space="preserve"> </w:t>
      </w:r>
      <w:r>
        <w:rPr>
          <w:rFonts w:hint="eastAsia" w:ascii="方正小标宋简体" w:hAnsi="黑体" w:eastAsia="方正小标宋简体"/>
          <w:color w:val="000000"/>
          <w:sz w:val="36"/>
          <w:szCs w:val="36"/>
          <w:u w:val="single"/>
          <w:lang w:val="en-US" w:eastAsia="zh-CN"/>
        </w:rPr>
        <w:t>2020</w:t>
      </w:r>
      <w:r>
        <w:rPr>
          <w:rFonts w:ascii="方正小标宋简体" w:hAnsi="黑体" w:eastAsia="方正小标宋简体"/>
          <w:color w:val="000000"/>
          <w:sz w:val="36"/>
          <w:szCs w:val="36"/>
          <w:u w:val="single"/>
        </w:rPr>
        <w:t xml:space="preserve">  </w:t>
      </w:r>
      <w:r>
        <w:rPr>
          <w:rFonts w:hint="eastAsia" w:ascii="方正小标宋简体" w:hAnsi="黑体" w:eastAsia="方正小标宋简体"/>
          <w:color w:val="000000"/>
          <w:sz w:val="36"/>
          <w:szCs w:val="36"/>
        </w:rPr>
        <w:t>年度）</w:t>
      </w:r>
    </w:p>
    <w:p>
      <w:pPr>
        <w:snapToGrid w:val="0"/>
        <w:spacing w:line="360" w:lineRule="exact"/>
        <w:ind w:right="420"/>
        <w:jc w:val="center"/>
        <w:rPr>
          <w:rFonts w:ascii="仿宋_GB2312" w:hAnsi="SimSun-ExtB" w:eastAsia="仿宋_GB2312"/>
          <w:color w:val="000000"/>
          <w:szCs w:val="21"/>
        </w:rPr>
      </w:pPr>
      <w:r>
        <w:rPr>
          <w:rFonts w:hint="eastAsia" w:ascii="仿宋_GB2312" w:hAnsi="宋体" w:eastAsia="仿宋_GB2312" w:cs="宋体"/>
          <w:color w:val="000000"/>
          <w:szCs w:val="21"/>
        </w:rPr>
        <w:t xml:space="preserve"> </w:t>
      </w:r>
      <w:r>
        <w:rPr>
          <w:rFonts w:ascii="仿宋_GB2312" w:hAnsi="宋体" w:eastAsia="仿宋_GB2312" w:cs="宋体"/>
          <w:color w:val="000000"/>
          <w:szCs w:val="21"/>
        </w:rPr>
        <w:t xml:space="preserve">                                                 </w:t>
      </w:r>
      <w:r>
        <w:rPr>
          <w:rFonts w:hint="eastAsia" w:ascii="仿宋_GB2312" w:hAnsi="宋体" w:eastAsia="仿宋_GB2312" w:cs="宋体"/>
          <w:color w:val="000000"/>
          <w:szCs w:val="21"/>
        </w:rPr>
        <w:t>金额</w:t>
      </w:r>
      <w:r>
        <w:rPr>
          <w:rFonts w:hint="eastAsia" w:ascii="仿宋_GB2312" w:eastAsia="仿宋_GB2312" w:cs="宋体"/>
          <w:color w:val="000000"/>
          <w:szCs w:val="21"/>
          <w:lang w:eastAsia="zh-CN"/>
        </w:rPr>
        <w:t>单位：</w:t>
      </w:r>
      <w:r>
        <w:rPr>
          <w:rFonts w:hint="eastAsia" w:ascii="仿宋_GB2312" w:hAnsi="宋体" w:eastAsia="仿宋_GB2312" w:cs="宋体"/>
          <w:color w:val="000000"/>
          <w:szCs w:val="21"/>
        </w:rPr>
        <w:t>万元</w:t>
      </w:r>
    </w:p>
    <w:tbl>
      <w:tblPr>
        <w:tblStyle w:val="14"/>
        <w:tblW w:w="96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7"/>
        <w:gridCol w:w="989"/>
        <w:gridCol w:w="186"/>
        <w:gridCol w:w="1247"/>
        <w:gridCol w:w="1430"/>
        <w:gridCol w:w="1534"/>
        <w:gridCol w:w="1186"/>
        <w:gridCol w:w="271"/>
        <w:gridCol w:w="817"/>
        <w:gridCol w:w="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1287"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ascii="仿宋_GB2312" w:hAnsi="SimSun-ExtB" w:eastAsia="仿宋_GB2312"/>
                <w:color w:val="000000"/>
                <w:sz w:val="24"/>
              </w:rPr>
            </w:pPr>
            <w:r>
              <w:rPr>
                <w:rFonts w:hint="eastAsia" w:ascii="仿宋_GB2312" w:hAnsi="宋体" w:eastAsia="仿宋_GB2312" w:cs="宋体"/>
                <w:color w:val="000000"/>
                <w:sz w:val="24"/>
              </w:rPr>
              <w:t>项目单位</w:t>
            </w:r>
          </w:p>
          <w:p>
            <w:pPr>
              <w:snapToGrid w:val="0"/>
              <w:spacing w:line="320" w:lineRule="exact"/>
              <w:jc w:val="center"/>
              <w:rPr>
                <w:rFonts w:ascii="仿宋_GB2312" w:hAnsi="SimSun-ExtB" w:eastAsia="仿宋_GB2312"/>
                <w:color w:val="000000"/>
                <w:sz w:val="24"/>
              </w:rPr>
            </w:pPr>
            <w:r>
              <w:rPr>
                <w:rFonts w:hint="eastAsia" w:ascii="仿宋_GB2312" w:hAnsi="宋体" w:eastAsia="仿宋_GB2312" w:cs="宋体"/>
                <w:color w:val="000000"/>
                <w:sz w:val="24"/>
              </w:rPr>
              <w:t>名称</w:t>
            </w:r>
          </w:p>
        </w:tc>
        <w:tc>
          <w:tcPr>
            <w:tcW w:w="2422"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rPr>
                <w:rFonts w:hint="default" w:ascii="仿宋_GB2312" w:hAnsi="SimSun-ExtB" w:eastAsia="仿宋_GB2312"/>
                <w:color w:val="000000"/>
                <w:sz w:val="24"/>
                <w:lang w:val="en-US" w:eastAsia="zh-CN"/>
              </w:rPr>
            </w:pPr>
            <w:r>
              <w:rPr>
                <w:rFonts w:hint="eastAsia" w:ascii="仿宋_GB2312" w:hAnsi="SimSun-ExtB" w:eastAsia="仿宋_GB2312"/>
                <w:color w:val="000000"/>
                <w:sz w:val="24"/>
                <w:lang w:val="en-US" w:eastAsia="zh-CN"/>
              </w:rPr>
              <w:t>创业服务中心</w:t>
            </w:r>
          </w:p>
        </w:tc>
        <w:tc>
          <w:tcPr>
            <w:tcW w:w="1430"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ascii="仿宋_GB2312" w:hAnsi="SimSun-ExtB" w:eastAsia="仿宋_GB2312"/>
                <w:color w:val="000000"/>
                <w:sz w:val="24"/>
              </w:rPr>
            </w:pPr>
            <w:r>
              <w:rPr>
                <w:rFonts w:hint="eastAsia" w:ascii="仿宋_GB2312" w:hAnsi="宋体" w:eastAsia="仿宋_GB2312" w:cs="宋体"/>
                <w:color w:val="000000"/>
                <w:sz w:val="24"/>
              </w:rPr>
              <w:t>项目名称</w:t>
            </w:r>
          </w:p>
        </w:tc>
        <w:tc>
          <w:tcPr>
            <w:tcW w:w="4523" w:type="dxa"/>
            <w:gridSpan w:val="5"/>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ascii="仿宋_GB2312" w:hAnsi="SimSun-ExtB" w:eastAsia="仿宋_GB2312"/>
                <w:color w:val="000000"/>
                <w:sz w:val="24"/>
              </w:rPr>
            </w:pPr>
            <w:r>
              <w:rPr>
                <w:rFonts w:hint="eastAsia" w:ascii="仿宋_GB2312" w:hAnsi="宋体" w:eastAsia="仿宋_GB2312" w:cs="宋体"/>
                <w:color w:val="000000"/>
                <w:sz w:val="24"/>
              </w:rPr>
              <w:t>政策奖励补助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1287"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ascii="仿宋_GB2312" w:hAnsi="SimSun-ExtB" w:eastAsia="仿宋_GB2312"/>
                <w:color w:val="000000"/>
                <w:sz w:val="24"/>
              </w:rPr>
            </w:pPr>
            <w:r>
              <w:rPr>
                <w:rFonts w:hint="eastAsia" w:ascii="仿宋_GB2312" w:hAnsi="宋体" w:eastAsia="仿宋_GB2312" w:cs="宋体"/>
                <w:color w:val="000000"/>
                <w:sz w:val="24"/>
              </w:rPr>
              <w:t>项目</w:t>
            </w:r>
          </w:p>
          <w:p>
            <w:pPr>
              <w:snapToGrid w:val="0"/>
              <w:spacing w:line="320" w:lineRule="exact"/>
              <w:jc w:val="center"/>
              <w:rPr>
                <w:rFonts w:ascii="仿宋_GB2312" w:hAnsi="SimSun-ExtB" w:eastAsia="仿宋_GB2312"/>
                <w:color w:val="000000"/>
                <w:sz w:val="24"/>
              </w:rPr>
            </w:pPr>
            <w:r>
              <w:rPr>
                <w:rFonts w:hint="eastAsia" w:ascii="仿宋_GB2312" w:hAnsi="宋体" w:eastAsia="仿宋_GB2312" w:cs="宋体"/>
                <w:color w:val="000000"/>
                <w:sz w:val="24"/>
              </w:rPr>
              <w:t>主管部门</w:t>
            </w:r>
          </w:p>
        </w:tc>
        <w:tc>
          <w:tcPr>
            <w:tcW w:w="2422"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hint="eastAsia" w:ascii="仿宋_GB2312" w:hAnsi="SimSun-ExtB" w:eastAsia="仿宋_GB2312"/>
                <w:color w:val="000000"/>
                <w:sz w:val="24"/>
                <w:lang w:val="en-US" w:eastAsia="zh-CN"/>
              </w:rPr>
            </w:pPr>
            <w:r>
              <w:rPr>
                <w:rFonts w:hint="eastAsia" w:ascii="仿宋_GB2312" w:hAnsi="SimSun-ExtB" w:eastAsia="仿宋_GB2312"/>
                <w:color w:val="000000"/>
                <w:sz w:val="24"/>
                <w:lang w:val="en-US" w:eastAsia="zh-CN"/>
              </w:rPr>
              <w:t>资产科、服务科</w:t>
            </w:r>
          </w:p>
        </w:tc>
        <w:tc>
          <w:tcPr>
            <w:tcW w:w="1430"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ascii="仿宋_GB2312" w:hAnsi="SimSun-ExtB" w:eastAsia="仿宋_GB2312"/>
                <w:color w:val="000000"/>
                <w:sz w:val="24"/>
              </w:rPr>
            </w:pPr>
            <w:r>
              <w:rPr>
                <w:rFonts w:hint="eastAsia" w:ascii="仿宋_GB2312" w:hAnsi="宋体" w:eastAsia="仿宋_GB2312" w:cs="宋体"/>
                <w:color w:val="000000"/>
                <w:sz w:val="24"/>
              </w:rPr>
              <w:t>项目负责人</w:t>
            </w:r>
          </w:p>
        </w:tc>
        <w:tc>
          <w:tcPr>
            <w:tcW w:w="1534"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hint="eastAsia" w:ascii="仿宋_GB2312" w:hAnsi="SimSun-ExtB" w:eastAsia="仿宋_GB2312"/>
                <w:color w:val="000000"/>
                <w:sz w:val="24"/>
                <w:lang w:val="en-US" w:eastAsia="zh-CN"/>
              </w:rPr>
            </w:pPr>
            <w:r>
              <w:rPr>
                <w:rFonts w:hint="eastAsia" w:ascii="仿宋_GB2312" w:hAnsi="SimSun-ExtB" w:eastAsia="仿宋_GB2312"/>
                <w:color w:val="000000"/>
                <w:sz w:val="24"/>
                <w:lang w:val="en-US" w:eastAsia="zh-CN"/>
              </w:rPr>
              <w:t>吴江勇、</w:t>
            </w:r>
          </w:p>
          <w:p>
            <w:pPr>
              <w:snapToGrid w:val="0"/>
              <w:spacing w:line="320" w:lineRule="exact"/>
              <w:jc w:val="center"/>
              <w:rPr>
                <w:rFonts w:hint="eastAsia" w:ascii="仿宋_GB2312" w:hAnsi="SimSun-ExtB" w:eastAsia="仿宋_GB2312"/>
                <w:color w:val="000000"/>
                <w:sz w:val="24"/>
                <w:lang w:val="en-US" w:eastAsia="zh-CN"/>
              </w:rPr>
            </w:pPr>
            <w:r>
              <w:rPr>
                <w:rFonts w:hint="eastAsia" w:ascii="仿宋_GB2312" w:hAnsi="SimSun-ExtB" w:eastAsia="仿宋_GB2312"/>
                <w:color w:val="000000"/>
                <w:sz w:val="24"/>
                <w:lang w:val="en-US" w:eastAsia="zh-CN"/>
              </w:rPr>
              <w:t>舒丹</w:t>
            </w:r>
          </w:p>
        </w:tc>
        <w:tc>
          <w:tcPr>
            <w:tcW w:w="1186"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ascii="仿宋_GB2312" w:hAnsi="SimSun-ExtB" w:eastAsia="仿宋_GB2312"/>
                <w:color w:val="000000"/>
                <w:sz w:val="24"/>
              </w:rPr>
            </w:pPr>
            <w:r>
              <w:rPr>
                <w:rFonts w:hint="eastAsia" w:ascii="仿宋_GB2312" w:hAnsi="宋体" w:eastAsia="仿宋_GB2312" w:cs="宋体"/>
                <w:color w:val="000000"/>
                <w:sz w:val="24"/>
              </w:rPr>
              <w:t>联系电话</w:t>
            </w:r>
          </w:p>
        </w:tc>
        <w:tc>
          <w:tcPr>
            <w:tcW w:w="1803"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hint="default" w:ascii="仿宋_GB2312" w:hAnsi="SimSun-ExtB" w:eastAsia="仿宋_GB2312"/>
                <w:color w:val="000000"/>
                <w:sz w:val="24"/>
                <w:lang w:val="en-US" w:eastAsia="zh-CN"/>
              </w:rPr>
            </w:pPr>
            <w:r>
              <w:rPr>
                <w:rFonts w:hint="eastAsia" w:ascii="仿宋_GB2312" w:hAnsi="SimSun-ExtB" w:eastAsia="仿宋_GB2312"/>
                <w:color w:val="000000"/>
                <w:sz w:val="24"/>
                <w:lang w:val="en-US" w:eastAsia="zh-CN"/>
              </w:rPr>
              <w:t>88019715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1287"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ascii="仿宋_GB2312" w:hAnsi="SimSun-ExtB" w:eastAsia="仿宋_GB2312"/>
                <w:color w:val="000000"/>
                <w:sz w:val="24"/>
              </w:rPr>
            </w:pPr>
            <w:r>
              <w:rPr>
                <w:rFonts w:hint="eastAsia" w:ascii="仿宋_GB2312" w:hAnsi="宋体" w:eastAsia="仿宋_GB2312" w:cs="宋体"/>
                <w:color w:val="000000"/>
                <w:sz w:val="24"/>
              </w:rPr>
              <w:t>项目</w:t>
            </w:r>
          </w:p>
          <w:p>
            <w:pPr>
              <w:snapToGrid w:val="0"/>
              <w:spacing w:line="320" w:lineRule="exact"/>
              <w:jc w:val="center"/>
              <w:rPr>
                <w:rFonts w:ascii="仿宋_GB2312" w:hAnsi="SimSun-ExtB" w:eastAsia="仿宋_GB2312"/>
                <w:color w:val="000000"/>
                <w:sz w:val="24"/>
              </w:rPr>
            </w:pPr>
            <w:r>
              <w:rPr>
                <w:rFonts w:hint="eastAsia" w:ascii="仿宋_GB2312" w:hAnsi="宋体" w:eastAsia="仿宋_GB2312" w:cs="宋体"/>
                <w:color w:val="000000"/>
                <w:sz w:val="24"/>
              </w:rPr>
              <w:t>基本</w:t>
            </w:r>
          </w:p>
          <w:p>
            <w:pPr>
              <w:snapToGrid w:val="0"/>
              <w:spacing w:line="320" w:lineRule="exact"/>
              <w:jc w:val="center"/>
              <w:rPr>
                <w:rFonts w:ascii="仿宋_GB2312" w:hAnsi="SimSun-ExtB" w:eastAsia="仿宋_GB2312"/>
                <w:color w:val="000000"/>
                <w:sz w:val="24"/>
              </w:rPr>
            </w:pPr>
            <w:r>
              <w:rPr>
                <w:rFonts w:hint="eastAsia" w:ascii="仿宋_GB2312" w:hAnsi="宋体" w:eastAsia="仿宋_GB2312" w:cs="宋体"/>
                <w:color w:val="000000"/>
                <w:sz w:val="24"/>
              </w:rPr>
              <w:t>情况</w:t>
            </w:r>
          </w:p>
        </w:tc>
        <w:tc>
          <w:tcPr>
            <w:tcW w:w="1175"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ascii="仿宋_GB2312" w:hAnsi="宋体" w:eastAsia="仿宋_GB2312" w:cs="宋体"/>
                <w:color w:val="000000"/>
                <w:sz w:val="24"/>
              </w:rPr>
            </w:pPr>
            <w:r>
              <w:rPr>
                <w:rFonts w:hint="eastAsia" w:ascii="仿宋_GB2312" w:hAnsi="宋体" w:eastAsia="仿宋_GB2312" w:cs="宋体"/>
                <w:color w:val="000000"/>
                <w:sz w:val="24"/>
              </w:rPr>
              <w:t>上年</w:t>
            </w:r>
          </w:p>
          <w:p>
            <w:pPr>
              <w:snapToGrid w:val="0"/>
              <w:spacing w:line="320" w:lineRule="exact"/>
              <w:jc w:val="center"/>
              <w:rPr>
                <w:rFonts w:ascii="仿宋_GB2312" w:hAnsi="SimSun-ExtB" w:eastAsia="仿宋_GB2312"/>
                <w:color w:val="000000"/>
                <w:sz w:val="24"/>
              </w:rPr>
            </w:pPr>
            <w:r>
              <w:rPr>
                <w:rFonts w:hint="eastAsia" w:ascii="仿宋_GB2312" w:hAnsi="宋体" w:eastAsia="仿宋_GB2312" w:cs="宋体"/>
                <w:color w:val="000000"/>
                <w:sz w:val="24"/>
              </w:rPr>
              <w:t>结转</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ascii="仿宋_GB2312" w:hAnsi="SimSun-ExtB" w:eastAsia="仿宋_GB2312"/>
                <w:color w:val="000000"/>
                <w:sz w:val="24"/>
              </w:rPr>
            </w:pPr>
            <w:r>
              <w:rPr>
                <w:rFonts w:hint="eastAsia" w:ascii="仿宋_GB2312" w:hAnsi="宋体" w:eastAsia="仿宋_GB2312" w:cs="宋体"/>
                <w:color w:val="000000"/>
                <w:sz w:val="24"/>
              </w:rPr>
              <w:t>年初预算安排数</w:t>
            </w:r>
          </w:p>
        </w:tc>
        <w:tc>
          <w:tcPr>
            <w:tcW w:w="1430"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ascii="仿宋_GB2312" w:hAnsi="SimSun-ExtB" w:eastAsia="仿宋_GB2312"/>
                <w:color w:val="000000"/>
                <w:sz w:val="24"/>
              </w:rPr>
            </w:pPr>
            <w:r>
              <w:rPr>
                <w:rFonts w:hint="eastAsia" w:ascii="仿宋_GB2312" w:hAnsi="宋体" w:eastAsia="仿宋_GB2312" w:cs="宋体"/>
                <w:color w:val="000000"/>
                <w:sz w:val="24"/>
              </w:rPr>
              <w:t>预算调整数</w:t>
            </w:r>
          </w:p>
        </w:tc>
        <w:tc>
          <w:tcPr>
            <w:tcW w:w="1534"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ascii="仿宋_GB2312" w:hAnsi="SimSun-ExtB" w:eastAsia="仿宋_GB2312"/>
                <w:color w:val="000000"/>
                <w:sz w:val="24"/>
              </w:rPr>
            </w:pPr>
            <w:r>
              <w:rPr>
                <w:rFonts w:hint="eastAsia" w:ascii="仿宋_GB2312" w:hAnsi="宋体" w:eastAsia="仿宋_GB2312" w:cs="宋体"/>
                <w:color w:val="000000"/>
                <w:sz w:val="24"/>
              </w:rPr>
              <w:t>财政支付数</w:t>
            </w:r>
          </w:p>
        </w:tc>
        <w:tc>
          <w:tcPr>
            <w:tcW w:w="2989"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ascii="仿宋_GB2312" w:hAnsi="SimSun-ExtB" w:eastAsia="仿宋_GB2312"/>
                <w:color w:val="000000"/>
                <w:sz w:val="24"/>
              </w:rPr>
            </w:pPr>
            <w:r>
              <w:rPr>
                <w:rFonts w:hint="eastAsia" w:ascii="仿宋_GB2312" w:hAnsi="宋体" w:eastAsia="仿宋_GB2312" w:cs="宋体"/>
                <w:color w:val="000000"/>
                <w:sz w:val="24"/>
              </w:rPr>
              <w:t>预算结余数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SimSun-ExtB" w:eastAsia="仿宋_GB2312"/>
                <w:color w:val="000000"/>
                <w:sz w:val="24"/>
              </w:rPr>
            </w:pPr>
          </w:p>
        </w:tc>
        <w:tc>
          <w:tcPr>
            <w:tcW w:w="1175"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hint="eastAsia" w:ascii="仿宋_GB2312" w:hAnsi="SimSun-ExtB" w:eastAsia="仿宋_GB2312"/>
                <w:color w:val="000000"/>
                <w:sz w:val="24"/>
                <w:lang w:val="en-US" w:eastAsia="zh-CN"/>
              </w:rPr>
            </w:pPr>
            <w:r>
              <w:rPr>
                <w:rFonts w:hint="eastAsia" w:ascii="仿宋_GB2312" w:hAnsi="SimSun-ExtB" w:eastAsia="仿宋_GB2312"/>
                <w:color w:val="000000"/>
                <w:sz w:val="24"/>
                <w:lang w:val="en-US" w:eastAsia="zh-CN"/>
              </w:rPr>
              <w:t>0</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hint="default" w:ascii="仿宋_GB2312" w:hAnsi="SimSun-ExtB" w:eastAsia="仿宋_GB2312"/>
                <w:color w:val="000000"/>
                <w:sz w:val="24"/>
                <w:lang w:val="en-US" w:eastAsia="zh-CN"/>
              </w:rPr>
            </w:pPr>
            <w:r>
              <w:rPr>
                <w:rFonts w:hint="eastAsia" w:ascii="宋体" w:hAnsi="宋体" w:cs="宋体"/>
                <w:i w:val="0"/>
                <w:color w:val="000000"/>
                <w:sz w:val="20"/>
                <w:szCs w:val="20"/>
                <w:u w:val="none"/>
                <w:lang w:val="en-US" w:eastAsia="zh-CN"/>
              </w:rPr>
              <w:t>13252</w:t>
            </w:r>
          </w:p>
        </w:tc>
        <w:tc>
          <w:tcPr>
            <w:tcW w:w="1430"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hint="default" w:ascii="仿宋_GB2312" w:hAnsi="SimSun-ExtB" w:eastAsia="仿宋_GB2312"/>
                <w:color w:val="000000"/>
                <w:sz w:val="24"/>
                <w:lang w:val="en-US" w:eastAsia="zh-CN"/>
              </w:rPr>
            </w:pPr>
            <w:r>
              <w:rPr>
                <w:rFonts w:hint="eastAsia" w:ascii="宋体" w:hAnsi="宋体" w:cs="宋体"/>
                <w:i w:val="0"/>
                <w:color w:val="000000"/>
                <w:sz w:val="20"/>
                <w:szCs w:val="20"/>
                <w:u w:val="none"/>
                <w:lang w:val="en-US" w:eastAsia="zh-CN"/>
              </w:rPr>
              <w:t>8786.77</w:t>
            </w:r>
          </w:p>
        </w:tc>
        <w:tc>
          <w:tcPr>
            <w:tcW w:w="1534"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hint="default" w:ascii="仿宋_GB2312" w:hAnsi="SimSun-ExtB" w:eastAsia="仿宋_GB2312"/>
                <w:color w:val="000000"/>
                <w:sz w:val="24"/>
                <w:lang w:val="en-US" w:eastAsia="zh-CN"/>
              </w:rPr>
            </w:pPr>
            <w:r>
              <w:rPr>
                <w:rFonts w:hint="eastAsia" w:ascii="仿宋_GB2312" w:hAnsi="SimSun-ExtB" w:eastAsia="仿宋_GB2312"/>
                <w:color w:val="000000"/>
                <w:sz w:val="24"/>
                <w:lang w:val="en-US" w:eastAsia="zh-CN"/>
              </w:rPr>
              <w:t>8140.75</w:t>
            </w:r>
          </w:p>
        </w:tc>
        <w:tc>
          <w:tcPr>
            <w:tcW w:w="2989"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hint="default" w:ascii="仿宋_GB2312" w:hAnsi="SimSun-ExtB" w:eastAsia="仿宋_GB2312"/>
                <w:color w:val="000000"/>
                <w:sz w:val="24"/>
                <w:lang w:val="en-US" w:eastAsia="zh-CN"/>
              </w:rPr>
            </w:pPr>
            <w:r>
              <w:rPr>
                <w:rFonts w:hint="eastAsia" w:ascii="仿宋_GB2312" w:hAnsi="SimSun-ExtB" w:eastAsia="仿宋_GB2312"/>
                <w:color w:val="000000"/>
                <w:sz w:val="24"/>
                <w:lang w:val="en-US" w:eastAsia="zh-CN"/>
              </w:rPr>
              <w:t>646.02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1287" w:type="dxa"/>
            <w:tcBorders>
              <w:top w:val="single" w:color="auto" w:sz="4" w:space="0"/>
              <w:left w:val="single" w:color="auto" w:sz="4" w:space="0"/>
              <w:bottom w:val="nil"/>
              <w:right w:val="single" w:color="auto" w:sz="4" w:space="0"/>
            </w:tcBorders>
            <w:noWrap w:val="0"/>
            <w:vAlign w:val="center"/>
          </w:tcPr>
          <w:p>
            <w:pPr>
              <w:spacing w:line="320" w:lineRule="exact"/>
              <w:jc w:val="center"/>
              <w:rPr>
                <w:rFonts w:ascii="仿宋_GB2312" w:hAnsi="SimSun-ExtB" w:eastAsia="仿宋_GB2312"/>
                <w:b/>
                <w:sz w:val="24"/>
              </w:rPr>
            </w:pPr>
            <w:r>
              <w:rPr>
                <w:rFonts w:hint="eastAsia" w:ascii="仿宋_GB2312" w:hAnsi="宋体" w:eastAsia="仿宋_GB2312" w:cs="宋体"/>
                <w:b/>
                <w:sz w:val="24"/>
              </w:rPr>
              <w:t>评价内容</w:t>
            </w:r>
          </w:p>
        </w:tc>
        <w:tc>
          <w:tcPr>
            <w:tcW w:w="989" w:type="dxa"/>
            <w:tcBorders>
              <w:top w:val="single" w:color="auto" w:sz="4" w:space="0"/>
              <w:left w:val="single" w:color="auto" w:sz="4" w:space="0"/>
              <w:bottom w:val="nil"/>
              <w:right w:val="single" w:color="auto" w:sz="4" w:space="0"/>
            </w:tcBorders>
            <w:noWrap w:val="0"/>
            <w:vAlign w:val="center"/>
          </w:tcPr>
          <w:p>
            <w:pPr>
              <w:spacing w:line="320" w:lineRule="exact"/>
              <w:jc w:val="center"/>
              <w:rPr>
                <w:rFonts w:ascii="仿宋_GB2312" w:hAnsi="SimSun-ExtB" w:eastAsia="仿宋_GB2312"/>
                <w:b/>
                <w:sz w:val="24"/>
              </w:rPr>
            </w:pPr>
            <w:r>
              <w:rPr>
                <w:rFonts w:hint="eastAsia" w:ascii="仿宋_GB2312" w:hAnsi="宋体" w:eastAsia="仿宋_GB2312" w:cs="宋体"/>
                <w:b/>
                <w:sz w:val="24"/>
              </w:rPr>
              <w:t>分值</w:t>
            </w:r>
          </w:p>
        </w:tc>
        <w:tc>
          <w:tcPr>
            <w:tcW w:w="5854" w:type="dxa"/>
            <w:gridSpan w:val="6"/>
            <w:tcBorders>
              <w:top w:val="single" w:color="auto" w:sz="4" w:space="0"/>
              <w:left w:val="single" w:color="auto" w:sz="4" w:space="0"/>
              <w:bottom w:val="nil"/>
              <w:right w:val="single" w:color="auto" w:sz="4" w:space="0"/>
            </w:tcBorders>
            <w:noWrap w:val="0"/>
            <w:vAlign w:val="center"/>
          </w:tcPr>
          <w:p>
            <w:pPr>
              <w:spacing w:line="320" w:lineRule="exact"/>
              <w:jc w:val="center"/>
              <w:rPr>
                <w:rFonts w:ascii="仿宋_GB2312" w:hAnsi="SimSun-ExtB" w:eastAsia="仿宋_GB2312"/>
                <w:b/>
                <w:sz w:val="24"/>
              </w:rPr>
            </w:pPr>
            <w:r>
              <w:rPr>
                <w:rFonts w:hint="eastAsia" w:ascii="仿宋_GB2312" w:hAnsi="宋体" w:eastAsia="仿宋_GB2312" w:cs="宋体"/>
                <w:b/>
                <w:sz w:val="24"/>
              </w:rPr>
              <w:t>评价简述</w:t>
            </w:r>
          </w:p>
        </w:tc>
        <w:tc>
          <w:tcPr>
            <w:tcW w:w="817" w:type="dxa"/>
            <w:tcBorders>
              <w:top w:val="single" w:color="auto" w:sz="4" w:space="0"/>
              <w:left w:val="single" w:color="auto" w:sz="4" w:space="0"/>
              <w:bottom w:val="nil"/>
              <w:right w:val="single" w:color="auto" w:sz="4" w:space="0"/>
            </w:tcBorders>
            <w:noWrap w:val="0"/>
            <w:vAlign w:val="center"/>
          </w:tcPr>
          <w:p>
            <w:pPr>
              <w:spacing w:line="320" w:lineRule="exact"/>
              <w:jc w:val="center"/>
              <w:rPr>
                <w:rFonts w:ascii="仿宋_GB2312" w:hAnsi="SimSun-ExtB" w:eastAsia="仿宋_GB2312"/>
                <w:b/>
                <w:sz w:val="24"/>
              </w:rPr>
            </w:pPr>
            <w:r>
              <w:rPr>
                <w:rFonts w:hint="eastAsia" w:ascii="仿宋_GB2312" w:hAnsi="宋体" w:eastAsia="仿宋_GB2312" w:cs="宋体"/>
                <w:b/>
                <w:sz w:val="24"/>
              </w:rPr>
              <w:t>自评得分</w:t>
            </w:r>
          </w:p>
        </w:tc>
        <w:tc>
          <w:tcPr>
            <w:tcW w:w="715" w:type="dxa"/>
            <w:tcBorders>
              <w:top w:val="single" w:color="auto" w:sz="4" w:space="0"/>
              <w:left w:val="single" w:color="auto" w:sz="4" w:space="0"/>
              <w:bottom w:val="nil"/>
              <w:right w:val="single" w:color="auto" w:sz="4" w:space="0"/>
            </w:tcBorders>
            <w:noWrap w:val="0"/>
            <w:vAlign w:val="center"/>
          </w:tcPr>
          <w:p>
            <w:pPr>
              <w:spacing w:line="320" w:lineRule="exact"/>
              <w:jc w:val="center"/>
              <w:rPr>
                <w:rFonts w:ascii="仿宋_GB2312" w:hAnsi="SimSun-ExtB" w:eastAsia="仿宋_GB2312"/>
                <w:b/>
                <w:sz w:val="24"/>
              </w:rPr>
            </w:pPr>
            <w:r>
              <w:rPr>
                <w:rFonts w:hint="eastAsia" w:ascii="仿宋_GB2312" w:hAnsi="宋体" w:eastAsia="仿宋_GB2312" w:cs="宋体"/>
                <w:b/>
                <w:sz w:val="24"/>
              </w:rPr>
              <w:t>复评得分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7" w:hRule="atLeast"/>
          <w:jc w:val="center"/>
        </w:trPr>
        <w:tc>
          <w:tcPr>
            <w:tcW w:w="128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SimSun-ExtB" w:eastAsia="仿宋_GB2312"/>
                <w:color w:val="000000"/>
                <w:sz w:val="24"/>
              </w:rPr>
            </w:pPr>
            <w:r>
              <w:rPr>
                <w:rFonts w:hint="eastAsia" w:ascii="仿宋_GB2312" w:hAnsi="宋体" w:eastAsia="仿宋_GB2312" w:cs="宋体"/>
                <w:color w:val="000000"/>
                <w:sz w:val="24"/>
              </w:rPr>
              <w:t>项目预算及预期绩效目标编制水平</w:t>
            </w:r>
          </w:p>
        </w:tc>
        <w:tc>
          <w:tcPr>
            <w:tcW w:w="98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SimSun-ExtB" w:eastAsia="仿宋_GB2312"/>
                <w:color w:val="FF0000"/>
                <w:sz w:val="24"/>
              </w:rPr>
            </w:pPr>
            <w:r>
              <w:rPr>
                <w:rFonts w:hint="eastAsia" w:ascii="仿宋_GB2312" w:hAnsi="SimSun-ExtB" w:eastAsia="仿宋_GB2312"/>
                <w:sz w:val="24"/>
              </w:rPr>
              <w:t>10</w:t>
            </w:r>
          </w:p>
        </w:tc>
        <w:tc>
          <w:tcPr>
            <w:tcW w:w="5854" w:type="dxa"/>
            <w:gridSpan w:val="6"/>
            <w:tcBorders>
              <w:top w:val="single" w:color="auto" w:sz="4" w:space="0"/>
              <w:left w:val="single" w:color="auto" w:sz="4" w:space="0"/>
              <w:bottom w:val="single" w:color="auto" w:sz="4" w:space="0"/>
              <w:right w:val="single" w:color="auto" w:sz="4" w:space="0"/>
            </w:tcBorders>
            <w:noWrap w:val="0"/>
            <w:vAlign w:val="center"/>
          </w:tcPr>
          <w:p>
            <w:pPr>
              <w:rPr>
                <w:rFonts w:ascii="仿宋" w:hAnsi="仿宋" w:eastAsia="仿宋"/>
                <w:color w:val="000000"/>
                <w:sz w:val="24"/>
              </w:rPr>
            </w:pPr>
            <w:r>
              <w:rPr>
                <w:rFonts w:hint="eastAsia" w:ascii="仿宋" w:hAnsi="仿宋" w:eastAsia="仿宋"/>
                <w:color w:val="000000"/>
                <w:sz w:val="24"/>
              </w:rPr>
              <w:t>本项目预算</w:t>
            </w:r>
            <w:r>
              <w:rPr>
                <w:rFonts w:hint="eastAsia" w:ascii="仿宋" w:hAnsi="仿宋" w:eastAsia="仿宋"/>
                <w:sz w:val="24"/>
              </w:rPr>
              <w:t>（即投入目标）编制科学、规范、合理，预期</w:t>
            </w:r>
            <w:r>
              <w:rPr>
                <w:rFonts w:hint="eastAsia" w:ascii="仿宋" w:hAnsi="仿宋" w:eastAsia="仿宋"/>
                <w:color w:val="000000"/>
                <w:sz w:val="24"/>
              </w:rPr>
              <w:t>绩效目标申报</w:t>
            </w:r>
            <w:r>
              <w:rPr>
                <w:rFonts w:hint="eastAsia" w:ascii="仿宋" w:hAnsi="仿宋" w:eastAsia="仿宋"/>
                <w:sz w:val="24"/>
              </w:rPr>
              <w:t>完整，产出、效果类关键性指标清晰、明确、量化，投入与项目产出、效果目标匹配。</w:t>
            </w:r>
          </w:p>
        </w:tc>
        <w:tc>
          <w:tcPr>
            <w:tcW w:w="81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仿宋_GB2312" w:hAnsi="SimSun-ExtB" w:eastAsia="仿宋_GB2312"/>
                <w:color w:val="000000"/>
                <w:sz w:val="24"/>
                <w:lang w:val="en-US" w:eastAsia="zh-CN"/>
              </w:rPr>
            </w:pPr>
            <w:r>
              <w:rPr>
                <w:rFonts w:hint="eastAsia" w:ascii="仿宋_GB2312" w:hAnsi="SimSun-ExtB" w:eastAsia="仿宋_GB2312"/>
                <w:color w:val="000000"/>
                <w:sz w:val="24"/>
                <w:lang w:val="en-US" w:eastAsia="zh-CN"/>
              </w:rPr>
              <w:t>10</w:t>
            </w:r>
          </w:p>
        </w:tc>
        <w:tc>
          <w:tcPr>
            <w:tcW w:w="71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仿宋_GB2312" w:hAnsi="SimSun-ExtB" w:eastAsia="仿宋_GB2312"/>
                <w:color w:val="00000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28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SimSun-ExtB" w:eastAsia="仿宋_GB2312"/>
                <w:color w:val="000000"/>
                <w:sz w:val="24"/>
              </w:rPr>
            </w:pPr>
            <w:r>
              <w:rPr>
                <w:rFonts w:hint="eastAsia" w:ascii="仿宋_GB2312" w:hAnsi="宋体" w:eastAsia="仿宋_GB2312" w:cs="宋体"/>
                <w:color w:val="000000"/>
                <w:sz w:val="24"/>
              </w:rPr>
              <w:t>预算执行率</w:t>
            </w:r>
          </w:p>
        </w:tc>
        <w:tc>
          <w:tcPr>
            <w:tcW w:w="98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SimSun-ExtB" w:eastAsia="仿宋_GB2312"/>
                <w:sz w:val="24"/>
              </w:rPr>
            </w:pPr>
            <w:r>
              <w:rPr>
                <w:rFonts w:hint="eastAsia" w:ascii="仿宋_GB2312" w:hAnsi="SimSun-ExtB" w:eastAsia="仿宋_GB2312"/>
                <w:sz w:val="24"/>
              </w:rPr>
              <w:t>10</w:t>
            </w:r>
          </w:p>
        </w:tc>
        <w:tc>
          <w:tcPr>
            <w:tcW w:w="5854" w:type="dxa"/>
            <w:gridSpan w:val="6"/>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仿宋_GB2312" w:hAnsi="SimSun-ExtB" w:eastAsia="仿宋_GB2312"/>
                <w:color w:val="000000"/>
                <w:sz w:val="24"/>
              </w:rPr>
            </w:pPr>
            <w:r>
              <w:rPr>
                <w:rFonts w:hint="eastAsia" w:ascii="仿宋_GB2312" w:hAnsi="SimSun-ExtB" w:eastAsia="仿宋_GB2312"/>
                <w:color w:val="000000"/>
                <w:sz w:val="24"/>
              </w:rPr>
              <w:t>该项目预算执行率为</w:t>
            </w:r>
            <w:r>
              <w:rPr>
                <w:rFonts w:hint="eastAsia" w:ascii="仿宋_GB2312" w:hAnsi="SimSun-ExtB" w:eastAsia="仿宋_GB2312"/>
                <w:color w:val="000000"/>
                <w:sz w:val="24"/>
                <w:lang w:val="en-US" w:eastAsia="zh-CN"/>
              </w:rPr>
              <w:t>92.65</w:t>
            </w:r>
            <w:r>
              <w:rPr>
                <w:rFonts w:hint="eastAsia" w:ascii="仿宋_GB2312" w:hAnsi="SimSun-ExtB" w:eastAsia="仿宋_GB2312"/>
                <w:color w:val="000000"/>
                <w:sz w:val="24"/>
              </w:rPr>
              <w:t>%。</w:t>
            </w:r>
          </w:p>
        </w:tc>
        <w:tc>
          <w:tcPr>
            <w:tcW w:w="81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仿宋_GB2312" w:hAnsi="SimSun-ExtB" w:eastAsia="仿宋_GB2312"/>
                <w:color w:val="000000"/>
                <w:sz w:val="24"/>
                <w:lang w:val="en-US" w:eastAsia="zh-CN"/>
              </w:rPr>
            </w:pPr>
            <w:r>
              <w:rPr>
                <w:rFonts w:hint="eastAsia" w:ascii="仿宋_GB2312" w:hAnsi="SimSun-ExtB" w:eastAsia="仿宋_GB2312"/>
                <w:color w:val="000000"/>
                <w:sz w:val="24"/>
                <w:lang w:val="en-US" w:eastAsia="zh-CN"/>
              </w:rPr>
              <w:t>10</w:t>
            </w:r>
          </w:p>
        </w:tc>
        <w:tc>
          <w:tcPr>
            <w:tcW w:w="71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仿宋_GB2312" w:hAnsi="SimSun-ExtB" w:eastAsia="仿宋_GB2312"/>
                <w:color w:val="00000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28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SimSun-ExtB" w:eastAsia="仿宋_GB2312"/>
                <w:color w:val="000000"/>
                <w:sz w:val="24"/>
              </w:rPr>
            </w:pPr>
            <w:r>
              <w:rPr>
                <w:rFonts w:hint="eastAsia" w:ascii="仿宋_GB2312" w:hAnsi="宋体" w:eastAsia="仿宋_GB2312" w:cs="宋体"/>
                <w:color w:val="000000"/>
                <w:sz w:val="24"/>
              </w:rPr>
              <w:t>项目组织管理水平</w:t>
            </w:r>
          </w:p>
        </w:tc>
        <w:tc>
          <w:tcPr>
            <w:tcW w:w="98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SimSun-ExtB" w:eastAsia="仿宋_GB2312"/>
                <w:sz w:val="24"/>
              </w:rPr>
            </w:pPr>
            <w:r>
              <w:rPr>
                <w:rFonts w:hint="eastAsia" w:ascii="仿宋_GB2312" w:hAnsi="SimSun-ExtB" w:eastAsia="仿宋_GB2312"/>
                <w:sz w:val="24"/>
              </w:rPr>
              <w:t>15</w:t>
            </w:r>
          </w:p>
        </w:tc>
        <w:tc>
          <w:tcPr>
            <w:tcW w:w="5854" w:type="dxa"/>
            <w:gridSpan w:val="6"/>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仿宋_GB2312" w:hAnsi="SimSun-ExtB" w:eastAsia="仿宋_GB2312"/>
                <w:color w:val="000000"/>
                <w:sz w:val="24"/>
              </w:rPr>
            </w:pPr>
            <w:r>
              <w:rPr>
                <w:rFonts w:hint="eastAsia" w:ascii="仿宋_GB2312" w:hAnsi="SimSun-ExtB" w:eastAsia="仿宋_GB2312"/>
                <w:color w:val="000000"/>
                <w:sz w:val="24"/>
              </w:rPr>
              <w:t>本项目严格按相关</w:t>
            </w:r>
            <w:r>
              <w:rPr>
                <w:rFonts w:hint="eastAsia" w:ascii="仿宋_GB2312" w:hAnsi="SimSun-ExtB" w:eastAsia="仿宋_GB2312"/>
                <w:color w:val="000000"/>
                <w:sz w:val="24"/>
                <w:lang w:val="en-US" w:eastAsia="zh-CN"/>
              </w:rPr>
              <w:t>文件、政策</w:t>
            </w:r>
            <w:r>
              <w:rPr>
                <w:rFonts w:hint="eastAsia" w:ascii="仿宋_GB2312" w:hAnsi="SimSun-ExtB" w:eastAsia="仿宋_GB2312"/>
                <w:color w:val="000000"/>
                <w:sz w:val="24"/>
              </w:rPr>
              <w:t>执行。</w:t>
            </w:r>
          </w:p>
        </w:tc>
        <w:tc>
          <w:tcPr>
            <w:tcW w:w="81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仿宋_GB2312" w:hAnsi="SimSun-ExtB" w:eastAsia="仿宋_GB2312"/>
                <w:color w:val="000000"/>
                <w:sz w:val="24"/>
                <w:lang w:val="en-US" w:eastAsia="zh-CN"/>
              </w:rPr>
            </w:pPr>
            <w:r>
              <w:rPr>
                <w:rFonts w:hint="eastAsia" w:ascii="仿宋_GB2312" w:hAnsi="SimSun-ExtB" w:eastAsia="仿宋_GB2312"/>
                <w:color w:val="000000"/>
                <w:sz w:val="24"/>
                <w:lang w:val="en-US" w:eastAsia="zh-CN"/>
              </w:rPr>
              <w:t>15</w:t>
            </w:r>
          </w:p>
        </w:tc>
        <w:tc>
          <w:tcPr>
            <w:tcW w:w="71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仿宋_GB2312" w:hAnsi="SimSun-ExtB" w:eastAsia="仿宋_GB2312"/>
                <w:color w:val="00000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jc w:val="center"/>
        </w:trPr>
        <w:tc>
          <w:tcPr>
            <w:tcW w:w="128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SimSun-ExtB" w:eastAsia="仿宋_GB2312"/>
                <w:color w:val="000000"/>
                <w:sz w:val="24"/>
              </w:rPr>
            </w:pPr>
            <w:r>
              <w:rPr>
                <w:rFonts w:hint="eastAsia" w:ascii="仿宋_GB2312" w:hAnsi="宋体" w:eastAsia="仿宋_GB2312" w:cs="宋体"/>
                <w:color w:val="000000"/>
                <w:sz w:val="24"/>
              </w:rPr>
              <w:t>资金支出</w:t>
            </w:r>
          </w:p>
          <w:p>
            <w:pPr>
              <w:spacing w:line="320" w:lineRule="exact"/>
              <w:jc w:val="center"/>
              <w:rPr>
                <w:rFonts w:ascii="仿宋_GB2312" w:hAnsi="SimSun-ExtB" w:eastAsia="仿宋_GB2312"/>
                <w:color w:val="000000"/>
                <w:sz w:val="24"/>
              </w:rPr>
            </w:pPr>
            <w:r>
              <w:rPr>
                <w:rFonts w:hint="eastAsia" w:ascii="仿宋_GB2312" w:hAnsi="宋体" w:eastAsia="仿宋_GB2312" w:cs="宋体"/>
                <w:color w:val="000000"/>
                <w:sz w:val="24"/>
              </w:rPr>
              <w:t>合理合规</w:t>
            </w:r>
          </w:p>
        </w:tc>
        <w:tc>
          <w:tcPr>
            <w:tcW w:w="98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SimSun-ExtB" w:eastAsia="仿宋_GB2312"/>
                <w:sz w:val="24"/>
              </w:rPr>
            </w:pPr>
            <w:r>
              <w:rPr>
                <w:rFonts w:hint="eastAsia" w:ascii="仿宋_GB2312" w:hAnsi="SimSun-ExtB" w:eastAsia="仿宋_GB2312"/>
                <w:sz w:val="24"/>
              </w:rPr>
              <w:t>15</w:t>
            </w:r>
          </w:p>
        </w:tc>
        <w:tc>
          <w:tcPr>
            <w:tcW w:w="5854" w:type="dxa"/>
            <w:gridSpan w:val="6"/>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仿宋_GB2312" w:hAnsi="SimSun-ExtB" w:eastAsia="仿宋_GB2312"/>
                <w:color w:val="000000"/>
                <w:sz w:val="24"/>
              </w:rPr>
            </w:pPr>
            <w:r>
              <w:rPr>
                <w:rFonts w:hint="eastAsia" w:ascii="仿宋_GB2312" w:hAnsi="SimSun-ExtB" w:eastAsia="仿宋_GB2312"/>
                <w:color w:val="000000"/>
                <w:sz w:val="24"/>
              </w:rPr>
              <w:t>本年项目支出符合国家相关法律法规、</w:t>
            </w:r>
            <w:r>
              <w:rPr>
                <w:rFonts w:hint="eastAsia" w:ascii="仿宋_GB2312" w:hAnsi="宋体" w:eastAsia="仿宋_GB2312"/>
                <w:sz w:val="24"/>
              </w:rPr>
              <w:t>财务管理制度以等规定，且均在预算范围内，无与本项目预算不相符或无关的资金支出。</w:t>
            </w:r>
          </w:p>
        </w:tc>
        <w:tc>
          <w:tcPr>
            <w:tcW w:w="81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仿宋_GB2312" w:hAnsi="SimSun-ExtB" w:eastAsia="仿宋_GB2312"/>
                <w:color w:val="000000"/>
                <w:sz w:val="24"/>
                <w:lang w:val="en-US" w:eastAsia="zh-CN"/>
              </w:rPr>
            </w:pPr>
            <w:r>
              <w:rPr>
                <w:rFonts w:hint="eastAsia" w:ascii="仿宋_GB2312" w:hAnsi="SimSun-ExtB" w:eastAsia="仿宋_GB2312"/>
                <w:color w:val="000000"/>
                <w:sz w:val="24"/>
                <w:lang w:val="en-US" w:eastAsia="zh-CN"/>
              </w:rPr>
              <w:t>15</w:t>
            </w:r>
          </w:p>
        </w:tc>
        <w:tc>
          <w:tcPr>
            <w:tcW w:w="71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仿宋_GB2312" w:hAnsi="SimSun-ExtB" w:eastAsia="仿宋_GB2312"/>
                <w:color w:val="00000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128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SimSun-ExtB" w:eastAsia="仿宋_GB2312"/>
                <w:color w:val="000000"/>
                <w:sz w:val="24"/>
              </w:rPr>
            </w:pPr>
            <w:r>
              <w:rPr>
                <w:rFonts w:hint="eastAsia" w:ascii="仿宋_GB2312" w:hAnsi="宋体" w:eastAsia="仿宋_GB2312" w:cs="宋体"/>
                <w:color w:val="000000"/>
                <w:sz w:val="24"/>
              </w:rPr>
              <w:t>项目产出</w:t>
            </w:r>
          </w:p>
        </w:tc>
        <w:tc>
          <w:tcPr>
            <w:tcW w:w="98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SimSun-ExtB" w:eastAsia="仿宋_GB2312"/>
                <w:sz w:val="24"/>
              </w:rPr>
            </w:pPr>
            <w:r>
              <w:rPr>
                <w:rFonts w:hint="eastAsia" w:ascii="仿宋_GB2312" w:hAnsi="SimSun-ExtB" w:eastAsia="仿宋_GB2312"/>
                <w:sz w:val="24"/>
              </w:rPr>
              <w:t>30</w:t>
            </w:r>
          </w:p>
        </w:tc>
        <w:tc>
          <w:tcPr>
            <w:tcW w:w="5854" w:type="dxa"/>
            <w:gridSpan w:val="6"/>
            <w:tcBorders>
              <w:top w:val="single" w:color="auto" w:sz="4" w:space="0"/>
              <w:left w:val="single" w:color="auto" w:sz="4" w:space="0"/>
              <w:bottom w:val="nil"/>
              <w:right w:val="single" w:color="auto" w:sz="4" w:space="0"/>
            </w:tcBorders>
            <w:noWrap w:val="0"/>
            <w:vAlign w:val="center"/>
          </w:tcPr>
          <w:p>
            <w:pPr>
              <w:spacing w:line="320" w:lineRule="exact"/>
              <w:rPr>
                <w:rFonts w:hint="default" w:ascii="仿宋_GB2312" w:hAnsi="SimSun-ExtB" w:eastAsia="仿宋_GB2312"/>
                <w:color w:val="000000"/>
                <w:sz w:val="24"/>
                <w:lang w:val="en-US" w:eastAsia="zh-CN"/>
              </w:rPr>
            </w:pPr>
            <w:r>
              <w:rPr>
                <w:rFonts w:hint="eastAsia" w:ascii="仿宋_GB2312" w:hAnsi="宋体" w:eastAsia="仿宋_GB2312"/>
                <w:sz w:val="24"/>
                <w:lang w:val="en-US" w:eastAsia="zh-CN"/>
              </w:rPr>
              <w:t>完成2019年度资产移交前海创园、创业园场地租金支付、34家企业租金补助、15家企业知识产权补助以此</w:t>
            </w:r>
            <w:r>
              <w:rPr>
                <w:rFonts w:hint="eastAsia" w:ascii="仿宋_GB2312" w:hAnsi="宋体" w:eastAsia="仿宋_GB2312" w:cs="Times New Roman"/>
                <w:color w:val="000000"/>
                <w:sz w:val="24"/>
                <w:lang w:val="en-US" w:eastAsia="zh-CN"/>
              </w:rPr>
              <w:t>促进众创空间和企业高质量发展。</w:t>
            </w:r>
          </w:p>
        </w:tc>
        <w:tc>
          <w:tcPr>
            <w:tcW w:w="817" w:type="dxa"/>
            <w:tcBorders>
              <w:top w:val="single" w:color="auto" w:sz="4" w:space="0"/>
              <w:left w:val="single" w:color="auto" w:sz="4" w:space="0"/>
              <w:bottom w:val="nil"/>
              <w:right w:val="single" w:color="auto" w:sz="4" w:space="0"/>
            </w:tcBorders>
            <w:noWrap w:val="0"/>
            <w:vAlign w:val="center"/>
          </w:tcPr>
          <w:p>
            <w:pPr>
              <w:spacing w:line="320" w:lineRule="exact"/>
              <w:jc w:val="center"/>
              <w:rPr>
                <w:rFonts w:hint="default" w:ascii="仿宋_GB2312" w:hAnsi="SimSun-ExtB" w:eastAsia="仿宋_GB2312"/>
                <w:color w:val="000000"/>
                <w:sz w:val="24"/>
                <w:lang w:val="en-US" w:eastAsia="zh-CN"/>
              </w:rPr>
            </w:pPr>
            <w:r>
              <w:rPr>
                <w:rFonts w:hint="eastAsia" w:ascii="仿宋_GB2312" w:hAnsi="SimSun-ExtB" w:eastAsia="仿宋_GB2312"/>
                <w:color w:val="000000"/>
                <w:sz w:val="24"/>
                <w:lang w:val="en-US" w:eastAsia="zh-CN"/>
              </w:rPr>
              <w:t>30</w:t>
            </w:r>
          </w:p>
        </w:tc>
        <w:tc>
          <w:tcPr>
            <w:tcW w:w="715" w:type="dxa"/>
            <w:tcBorders>
              <w:top w:val="single" w:color="auto" w:sz="4" w:space="0"/>
              <w:left w:val="single" w:color="auto" w:sz="4" w:space="0"/>
              <w:bottom w:val="nil"/>
              <w:right w:val="single" w:color="auto" w:sz="4" w:space="0"/>
            </w:tcBorders>
            <w:noWrap w:val="0"/>
            <w:vAlign w:val="center"/>
          </w:tcPr>
          <w:p>
            <w:pPr>
              <w:spacing w:line="320" w:lineRule="exact"/>
              <w:jc w:val="center"/>
              <w:rPr>
                <w:rFonts w:hint="default" w:ascii="仿宋_GB2312" w:hAnsi="SimSun-ExtB" w:eastAsia="仿宋_GB2312"/>
                <w:color w:val="00000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1287" w:type="dxa"/>
            <w:tcBorders>
              <w:top w:val="single" w:color="auto" w:sz="4" w:space="0"/>
              <w:left w:val="single" w:color="auto" w:sz="4" w:space="0"/>
              <w:bottom w:val="nil"/>
              <w:right w:val="single" w:color="auto" w:sz="4" w:space="0"/>
            </w:tcBorders>
            <w:noWrap w:val="0"/>
            <w:vAlign w:val="center"/>
          </w:tcPr>
          <w:p>
            <w:pPr>
              <w:spacing w:line="320" w:lineRule="exact"/>
              <w:jc w:val="center"/>
              <w:rPr>
                <w:rFonts w:ascii="仿宋_GB2312" w:hAnsi="SimSun-ExtB" w:eastAsia="仿宋_GB2312"/>
                <w:color w:val="000000"/>
                <w:sz w:val="24"/>
              </w:rPr>
            </w:pPr>
            <w:r>
              <w:rPr>
                <w:rFonts w:hint="eastAsia" w:ascii="仿宋_GB2312" w:hAnsi="宋体" w:eastAsia="仿宋_GB2312" w:cs="宋体"/>
                <w:color w:val="000000"/>
                <w:sz w:val="24"/>
              </w:rPr>
              <w:t>项目效益（效果）</w:t>
            </w:r>
          </w:p>
        </w:tc>
        <w:tc>
          <w:tcPr>
            <w:tcW w:w="989" w:type="dxa"/>
            <w:tcBorders>
              <w:top w:val="single" w:color="auto" w:sz="4" w:space="0"/>
              <w:left w:val="single" w:color="auto" w:sz="4" w:space="0"/>
              <w:bottom w:val="nil"/>
              <w:right w:val="single" w:color="auto" w:sz="4" w:space="0"/>
            </w:tcBorders>
            <w:noWrap w:val="0"/>
            <w:vAlign w:val="center"/>
          </w:tcPr>
          <w:p>
            <w:pPr>
              <w:spacing w:line="320" w:lineRule="exact"/>
              <w:jc w:val="center"/>
              <w:rPr>
                <w:rFonts w:ascii="仿宋_GB2312" w:hAnsi="SimSun-ExtB" w:eastAsia="仿宋_GB2312"/>
                <w:color w:val="000000"/>
                <w:sz w:val="24"/>
              </w:rPr>
            </w:pPr>
            <w:r>
              <w:rPr>
                <w:rFonts w:hint="eastAsia" w:ascii="仿宋_GB2312" w:hAnsi="SimSun-ExtB" w:eastAsia="仿宋_GB2312"/>
                <w:color w:val="000000"/>
                <w:sz w:val="24"/>
              </w:rPr>
              <w:t>20</w:t>
            </w:r>
          </w:p>
        </w:tc>
        <w:tc>
          <w:tcPr>
            <w:tcW w:w="5854" w:type="dxa"/>
            <w:gridSpan w:val="6"/>
            <w:tcBorders>
              <w:top w:val="single" w:color="auto" w:sz="4" w:space="0"/>
              <w:left w:val="single" w:color="auto" w:sz="4" w:space="0"/>
              <w:bottom w:val="nil"/>
              <w:right w:val="single" w:color="auto" w:sz="4" w:space="0"/>
            </w:tcBorders>
            <w:noWrap w:val="0"/>
            <w:vAlign w:val="center"/>
          </w:tcPr>
          <w:p>
            <w:pPr>
              <w:spacing w:line="320" w:lineRule="exact"/>
              <w:rPr>
                <w:rFonts w:ascii="仿宋_GB2312" w:hAnsi="SimSun-ExtB" w:eastAsia="仿宋_GB2312"/>
                <w:color w:val="000000"/>
                <w:sz w:val="24"/>
              </w:rPr>
            </w:pPr>
            <w:r>
              <w:rPr>
                <w:rFonts w:hint="eastAsia" w:ascii="仿宋_GB2312" w:hAnsi="宋体" w:eastAsia="仿宋_GB2312"/>
                <w:sz w:val="24"/>
                <w:lang w:val="en-US" w:eastAsia="zh-CN"/>
              </w:rPr>
              <w:t>扶持初创、加速企业，构建创新创业生态系统，营造创新创业的良好环境。</w:t>
            </w:r>
          </w:p>
        </w:tc>
        <w:tc>
          <w:tcPr>
            <w:tcW w:w="817" w:type="dxa"/>
            <w:tcBorders>
              <w:top w:val="single" w:color="auto" w:sz="4" w:space="0"/>
              <w:left w:val="single" w:color="auto" w:sz="4" w:space="0"/>
              <w:bottom w:val="nil"/>
              <w:right w:val="single" w:color="auto" w:sz="4" w:space="0"/>
            </w:tcBorders>
            <w:noWrap w:val="0"/>
            <w:vAlign w:val="center"/>
          </w:tcPr>
          <w:p>
            <w:pPr>
              <w:spacing w:line="320" w:lineRule="exact"/>
              <w:jc w:val="center"/>
              <w:rPr>
                <w:rFonts w:hint="default" w:ascii="仿宋_GB2312" w:hAnsi="SimSun-ExtB" w:eastAsia="仿宋_GB2312"/>
                <w:color w:val="000000"/>
                <w:sz w:val="24"/>
                <w:lang w:val="en-US" w:eastAsia="zh-CN"/>
              </w:rPr>
            </w:pPr>
            <w:r>
              <w:rPr>
                <w:rFonts w:hint="eastAsia" w:ascii="仿宋_GB2312" w:hAnsi="SimSun-ExtB" w:eastAsia="仿宋_GB2312"/>
                <w:color w:val="000000"/>
                <w:sz w:val="24"/>
                <w:lang w:val="en-US" w:eastAsia="zh-CN"/>
              </w:rPr>
              <w:t>20</w:t>
            </w:r>
          </w:p>
        </w:tc>
        <w:tc>
          <w:tcPr>
            <w:tcW w:w="715" w:type="dxa"/>
            <w:tcBorders>
              <w:top w:val="single" w:color="auto" w:sz="4" w:space="0"/>
              <w:left w:val="single" w:color="auto" w:sz="4" w:space="0"/>
              <w:bottom w:val="nil"/>
              <w:right w:val="single" w:color="auto" w:sz="4" w:space="0"/>
            </w:tcBorders>
            <w:noWrap w:val="0"/>
            <w:vAlign w:val="center"/>
          </w:tcPr>
          <w:p>
            <w:pPr>
              <w:spacing w:line="320" w:lineRule="exact"/>
              <w:jc w:val="center"/>
              <w:rPr>
                <w:rFonts w:hint="default" w:ascii="仿宋_GB2312" w:hAnsi="SimSun-ExtB" w:eastAsia="仿宋_GB2312"/>
                <w:color w:val="00000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28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SimSun-ExtB" w:eastAsia="仿宋_GB2312"/>
                <w:color w:val="000000"/>
                <w:sz w:val="24"/>
              </w:rPr>
            </w:pPr>
            <w:r>
              <w:rPr>
                <w:rFonts w:hint="eastAsia" w:ascii="仿宋_GB2312" w:hAnsi="宋体" w:eastAsia="仿宋_GB2312" w:cs="宋体"/>
                <w:color w:val="000000"/>
                <w:sz w:val="24"/>
              </w:rPr>
              <w:t>小计</w:t>
            </w:r>
          </w:p>
        </w:tc>
        <w:tc>
          <w:tcPr>
            <w:tcW w:w="98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SimSun-ExtB" w:eastAsia="仿宋_GB2312"/>
                <w:color w:val="000000"/>
                <w:sz w:val="24"/>
              </w:rPr>
            </w:pPr>
            <w:r>
              <w:rPr>
                <w:rFonts w:hint="eastAsia" w:ascii="仿宋_GB2312" w:hAnsi="SimSun-ExtB" w:eastAsia="仿宋_GB2312"/>
                <w:color w:val="000000"/>
                <w:sz w:val="24"/>
              </w:rPr>
              <w:t>100</w:t>
            </w:r>
          </w:p>
        </w:tc>
        <w:tc>
          <w:tcPr>
            <w:tcW w:w="5854" w:type="dxa"/>
            <w:gridSpan w:val="6"/>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SimSun-ExtB" w:eastAsia="仿宋_GB2312"/>
                <w:color w:val="000000"/>
                <w:sz w:val="24"/>
              </w:rPr>
            </w:pPr>
            <w:r>
              <w:rPr>
                <w:rFonts w:hint="eastAsia" w:ascii="仿宋_GB2312" w:hAnsi="SimSun-ExtB" w:eastAsia="仿宋_GB2312"/>
                <w:color w:val="000000"/>
                <w:sz w:val="24"/>
              </w:rPr>
              <w:t>*</w:t>
            </w:r>
          </w:p>
        </w:tc>
        <w:tc>
          <w:tcPr>
            <w:tcW w:w="81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仿宋_GB2312" w:hAnsi="SimSun-ExtB" w:eastAsia="仿宋_GB2312"/>
                <w:color w:val="000000"/>
                <w:sz w:val="24"/>
                <w:lang w:val="en-US" w:eastAsia="zh-CN"/>
              </w:rPr>
            </w:pPr>
            <w:r>
              <w:rPr>
                <w:rFonts w:hint="eastAsia" w:ascii="仿宋_GB2312" w:hAnsi="SimSun-ExtB" w:eastAsia="仿宋_GB2312"/>
                <w:color w:val="000000"/>
                <w:sz w:val="24"/>
                <w:lang w:val="en-US" w:eastAsia="zh-CN"/>
              </w:rPr>
              <w:t>100</w:t>
            </w:r>
          </w:p>
        </w:tc>
        <w:tc>
          <w:tcPr>
            <w:tcW w:w="71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仿宋_GB2312" w:hAnsi="SimSun-ExtB" w:eastAsia="仿宋_GB2312"/>
                <w:color w:val="00000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28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宋体" w:eastAsia="仿宋_GB2312" w:cs="宋体"/>
                <w:sz w:val="24"/>
              </w:rPr>
            </w:pPr>
            <w:r>
              <w:rPr>
                <w:rFonts w:hint="eastAsia" w:ascii="仿宋_GB2312" w:hAnsi="宋体" w:eastAsia="仿宋_GB2312" w:cs="宋体"/>
                <w:sz w:val="24"/>
              </w:rPr>
              <w:t>负向指标</w:t>
            </w:r>
          </w:p>
        </w:tc>
        <w:tc>
          <w:tcPr>
            <w:tcW w:w="98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SimSun-ExtB" w:eastAsia="仿宋_GB2312"/>
                <w:sz w:val="24"/>
              </w:rPr>
            </w:pPr>
            <w:r>
              <w:rPr>
                <w:rFonts w:hint="eastAsia" w:ascii="仿宋_GB2312" w:hAnsi="SimSun-ExtB" w:eastAsia="仿宋_GB2312"/>
                <w:sz w:val="24"/>
              </w:rPr>
              <w:t>—</w:t>
            </w:r>
          </w:p>
        </w:tc>
        <w:tc>
          <w:tcPr>
            <w:tcW w:w="5854" w:type="dxa"/>
            <w:gridSpan w:val="6"/>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仿宋_GB2312" w:hAnsi="SimSun-ExtB" w:eastAsia="仿宋_GB2312"/>
                <w:sz w:val="24"/>
              </w:rPr>
            </w:pPr>
            <w:r>
              <w:rPr>
                <w:rFonts w:hint="eastAsia" w:ascii="仿宋_GB2312" w:hAnsi="SimSun-ExtB" w:eastAsia="仿宋_GB2312"/>
                <w:sz w:val="24"/>
              </w:rPr>
              <w:t>主要评价自评得分与复评得分差异率。差异率</w:t>
            </w:r>
            <w:r>
              <w:rPr>
                <w:rFonts w:hint="eastAsia" w:ascii="仿宋" w:hAnsi="仿宋" w:eastAsia="仿宋"/>
                <w:sz w:val="24"/>
              </w:rPr>
              <w:t>≤</w:t>
            </w:r>
            <w:r>
              <w:rPr>
                <w:rFonts w:hint="eastAsia" w:ascii="仿宋_GB2312" w:hAnsi="SimSun-ExtB" w:eastAsia="仿宋_GB2312"/>
                <w:sz w:val="24"/>
              </w:rPr>
              <w:t>10%，不扣分；10%&lt;差异率</w:t>
            </w:r>
            <w:r>
              <w:rPr>
                <w:rFonts w:hint="eastAsia" w:ascii="仿宋" w:hAnsi="仿宋" w:eastAsia="仿宋"/>
                <w:sz w:val="24"/>
              </w:rPr>
              <w:t>≤15%，扣2分；</w:t>
            </w:r>
            <w:r>
              <w:rPr>
                <w:rFonts w:hint="eastAsia" w:ascii="仿宋_GB2312" w:hAnsi="SimSun-ExtB" w:eastAsia="仿宋_GB2312"/>
                <w:sz w:val="24"/>
              </w:rPr>
              <w:t>15%&lt;差异率</w:t>
            </w:r>
            <w:r>
              <w:rPr>
                <w:rFonts w:hint="eastAsia" w:ascii="仿宋" w:hAnsi="仿宋" w:eastAsia="仿宋"/>
                <w:sz w:val="24"/>
              </w:rPr>
              <w:t>≤20%，扣4分；</w:t>
            </w:r>
            <w:r>
              <w:rPr>
                <w:rFonts w:hint="eastAsia" w:ascii="仿宋_GB2312" w:hAnsi="SimSun-ExtB" w:eastAsia="仿宋_GB2312"/>
                <w:sz w:val="24"/>
              </w:rPr>
              <w:t>差异率&gt;20%</w:t>
            </w:r>
            <w:r>
              <w:rPr>
                <w:rFonts w:hint="eastAsia" w:ascii="仿宋" w:hAnsi="仿宋" w:eastAsia="仿宋"/>
                <w:sz w:val="24"/>
              </w:rPr>
              <w:t>，扣6分。</w:t>
            </w:r>
          </w:p>
        </w:tc>
        <w:tc>
          <w:tcPr>
            <w:tcW w:w="817" w:type="dxa"/>
            <w:tcBorders>
              <w:top w:val="single" w:color="auto" w:sz="4" w:space="0"/>
              <w:left w:val="single" w:color="auto" w:sz="4" w:space="0"/>
              <w:bottom w:val="single" w:color="auto" w:sz="4" w:space="0"/>
              <w:right w:val="single" w:color="auto" w:sz="4" w:space="0"/>
              <w:tr2bl w:val="single" w:color="auto" w:sz="4" w:space="0"/>
            </w:tcBorders>
            <w:noWrap w:val="0"/>
            <w:vAlign w:val="center"/>
          </w:tcPr>
          <w:p>
            <w:pPr>
              <w:spacing w:line="320" w:lineRule="exact"/>
              <w:jc w:val="center"/>
              <w:rPr>
                <w:rFonts w:ascii="仿宋_GB2312" w:hAnsi="SimSun-ExtB" w:eastAsia="仿宋_GB2312"/>
                <w:color w:val="000000"/>
                <w:sz w:val="24"/>
              </w:rPr>
            </w:pPr>
          </w:p>
        </w:tc>
        <w:tc>
          <w:tcPr>
            <w:tcW w:w="71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SimSun-ExtB"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28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宋体" w:eastAsia="仿宋_GB2312" w:cs="宋体"/>
                <w:color w:val="000000"/>
                <w:sz w:val="24"/>
              </w:rPr>
            </w:pPr>
            <w:r>
              <w:rPr>
                <w:rFonts w:hint="eastAsia" w:ascii="仿宋_GB2312" w:hAnsi="宋体" w:eastAsia="仿宋_GB2312" w:cs="宋体"/>
                <w:color w:val="000000"/>
                <w:sz w:val="24"/>
              </w:rPr>
              <w:t>合计</w:t>
            </w:r>
          </w:p>
        </w:tc>
        <w:tc>
          <w:tcPr>
            <w:tcW w:w="98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SimSun-ExtB" w:eastAsia="仿宋_GB2312"/>
                <w:color w:val="000000"/>
                <w:sz w:val="24"/>
              </w:rPr>
            </w:pPr>
            <w:r>
              <w:rPr>
                <w:rFonts w:hint="eastAsia" w:ascii="仿宋_GB2312" w:hAnsi="SimSun-ExtB" w:eastAsia="仿宋_GB2312"/>
                <w:color w:val="000000"/>
                <w:sz w:val="24"/>
              </w:rPr>
              <w:t>100</w:t>
            </w:r>
          </w:p>
        </w:tc>
        <w:tc>
          <w:tcPr>
            <w:tcW w:w="5854" w:type="dxa"/>
            <w:gridSpan w:val="6"/>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SimSun-ExtB" w:eastAsia="仿宋_GB2312"/>
                <w:color w:val="000000"/>
                <w:sz w:val="24"/>
              </w:rPr>
            </w:pPr>
            <w:r>
              <w:rPr>
                <w:rFonts w:hint="eastAsia" w:ascii="仿宋_GB2312" w:hAnsi="SimSun-ExtB" w:eastAsia="仿宋_GB2312"/>
                <w:color w:val="000000"/>
                <w:sz w:val="24"/>
              </w:rPr>
              <w:t>*</w:t>
            </w:r>
          </w:p>
        </w:tc>
        <w:tc>
          <w:tcPr>
            <w:tcW w:w="81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SimSun-ExtB" w:eastAsia="仿宋_GB2312"/>
                <w:color w:val="000000"/>
                <w:sz w:val="24"/>
              </w:rPr>
            </w:pPr>
          </w:p>
        </w:tc>
        <w:tc>
          <w:tcPr>
            <w:tcW w:w="71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SimSun-ExtB"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128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SimSun-ExtB" w:eastAsia="仿宋_GB2312"/>
                <w:color w:val="000000"/>
                <w:sz w:val="24"/>
              </w:rPr>
            </w:pPr>
            <w:r>
              <w:rPr>
                <w:rFonts w:hint="eastAsia" w:ascii="仿宋_GB2312" w:hAnsi="宋体" w:eastAsia="仿宋_GB2312" w:cs="宋体"/>
                <w:color w:val="000000"/>
                <w:sz w:val="24"/>
              </w:rPr>
              <w:t>评价结果</w:t>
            </w:r>
          </w:p>
        </w:tc>
        <w:tc>
          <w:tcPr>
            <w:tcW w:w="98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SimSun-ExtB" w:eastAsia="仿宋_GB2312"/>
                <w:color w:val="000000"/>
                <w:sz w:val="24"/>
              </w:rPr>
            </w:pPr>
          </w:p>
        </w:tc>
        <w:tc>
          <w:tcPr>
            <w:tcW w:w="7386" w:type="dxa"/>
            <w:gridSpan w:val="8"/>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240" w:firstLineChars="100"/>
              <w:jc w:val="left"/>
              <w:rPr>
                <w:rFonts w:ascii="仿宋_GB2312" w:hAnsi="SimSun-ExtB" w:eastAsia="仿宋_GB2312" w:cs="宋体"/>
                <w:sz w:val="24"/>
              </w:rPr>
            </w:pPr>
            <w:r>
              <w:rPr>
                <w:rFonts w:hint="eastAsia" w:ascii="仿宋_GB2312" w:hAnsi="宋体" w:eastAsia="仿宋_GB2312" w:cs="宋体"/>
                <w:sz w:val="24"/>
              </w:rPr>
              <w:t>□优秀</w:t>
            </w:r>
            <w:r>
              <w:rPr>
                <w:rFonts w:hint="eastAsia" w:ascii="仿宋_GB2312" w:hAnsi="SimSun-ExtB" w:eastAsia="仿宋_GB2312" w:cs="宋体"/>
                <w:sz w:val="24"/>
              </w:rPr>
              <w:t>90分</w:t>
            </w:r>
            <w:r>
              <w:rPr>
                <w:rFonts w:hint="eastAsia" w:ascii="仿宋" w:hAnsi="仿宋" w:eastAsia="仿宋" w:cs="宋体"/>
                <w:sz w:val="24"/>
              </w:rPr>
              <w:t>≤</w:t>
            </w:r>
            <w:r>
              <w:rPr>
                <w:rFonts w:hint="eastAsia" w:ascii="仿宋_GB2312" w:hAnsi="SimSun-ExtB" w:eastAsia="仿宋_GB2312" w:cs="宋体"/>
                <w:sz w:val="24"/>
              </w:rPr>
              <w:t>得分</w:t>
            </w:r>
            <w:r>
              <w:rPr>
                <w:rFonts w:hint="eastAsia" w:ascii="仿宋" w:hAnsi="仿宋" w:eastAsia="仿宋" w:cs="宋体"/>
                <w:sz w:val="24"/>
              </w:rPr>
              <w:t>≤</w:t>
            </w:r>
            <w:r>
              <w:rPr>
                <w:rFonts w:hint="eastAsia" w:ascii="仿宋_GB2312" w:hAnsi="SimSun-ExtB" w:eastAsia="仿宋_GB2312" w:cs="宋体"/>
                <w:sz w:val="24"/>
              </w:rPr>
              <w:t>100分</w:t>
            </w:r>
            <w:r>
              <w:rPr>
                <w:rFonts w:hint="eastAsia" w:ascii="仿宋_GB2312" w:hAnsi="宋体" w:eastAsia="仿宋_GB2312" w:cs="宋体"/>
                <w:sz w:val="24"/>
              </w:rPr>
              <w:t>；□良</w:t>
            </w:r>
            <w:r>
              <w:rPr>
                <w:rFonts w:ascii="仿宋_GB2312" w:hAnsi="SimSun-ExtB" w:eastAsia="仿宋_GB2312" w:cs="宋体"/>
                <w:sz w:val="24"/>
              </w:rPr>
              <w:t>80</w:t>
            </w:r>
            <w:r>
              <w:rPr>
                <w:rFonts w:hint="eastAsia" w:ascii="仿宋_GB2312" w:hAnsi="SimSun-ExtB" w:eastAsia="仿宋_GB2312" w:cs="宋体"/>
                <w:sz w:val="24"/>
              </w:rPr>
              <w:t>分</w:t>
            </w:r>
            <w:r>
              <w:rPr>
                <w:rFonts w:hint="eastAsia" w:ascii="仿宋" w:hAnsi="仿宋" w:eastAsia="仿宋" w:cs="宋体"/>
                <w:sz w:val="24"/>
              </w:rPr>
              <w:t>≤</w:t>
            </w:r>
            <w:r>
              <w:rPr>
                <w:rFonts w:hint="eastAsia" w:ascii="仿宋_GB2312" w:hAnsi="SimSun-ExtB" w:eastAsia="仿宋_GB2312" w:cs="宋体"/>
                <w:sz w:val="24"/>
              </w:rPr>
              <w:t>得分</w:t>
            </w:r>
            <w:r>
              <w:rPr>
                <w:rFonts w:hint="eastAsia" w:ascii="仿宋" w:hAnsi="仿宋" w:eastAsia="仿宋" w:cs="宋体"/>
                <w:sz w:val="24"/>
              </w:rPr>
              <w:t>＜90</w:t>
            </w:r>
            <w:r>
              <w:rPr>
                <w:rFonts w:hint="eastAsia" w:ascii="仿宋_GB2312" w:hAnsi="SimSun-ExtB" w:eastAsia="仿宋_GB2312" w:cs="宋体"/>
                <w:sz w:val="24"/>
              </w:rPr>
              <w:t>分</w:t>
            </w:r>
            <w:r>
              <w:rPr>
                <w:rFonts w:hint="eastAsia" w:ascii="仿宋_GB2312" w:hAnsi="宋体" w:eastAsia="仿宋_GB2312" w:cs="宋体"/>
                <w:sz w:val="24"/>
              </w:rPr>
              <w:t>；</w:t>
            </w:r>
          </w:p>
          <w:p>
            <w:pPr>
              <w:spacing w:line="320" w:lineRule="exact"/>
              <w:jc w:val="left"/>
              <w:rPr>
                <w:rFonts w:ascii="仿宋_GB2312" w:hAnsi="SimSun-ExtB" w:eastAsia="仿宋_GB2312"/>
                <w:color w:val="000000"/>
                <w:sz w:val="24"/>
              </w:rPr>
            </w:pPr>
            <w:r>
              <w:rPr>
                <w:rFonts w:hint="eastAsia" w:ascii="仿宋_GB2312" w:hAnsi="宋体" w:eastAsia="仿宋_GB2312" w:cs="宋体"/>
                <w:sz w:val="24"/>
              </w:rPr>
              <w:t>□中</w:t>
            </w:r>
            <w:r>
              <w:rPr>
                <w:rFonts w:hint="eastAsia" w:ascii="仿宋_GB2312" w:hAnsi="SimSun-ExtB" w:eastAsia="仿宋_GB2312" w:cs="宋体"/>
                <w:sz w:val="24"/>
              </w:rPr>
              <w:t>60分</w:t>
            </w:r>
            <w:r>
              <w:rPr>
                <w:rFonts w:hint="eastAsia" w:ascii="仿宋" w:hAnsi="仿宋" w:eastAsia="仿宋" w:cs="宋体"/>
                <w:sz w:val="24"/>
              </w:rPr>
              <w:t>≤</w:t>
            </w:r>
            <w:r>
              <w:rPr>
                <w:rFonts w:hint="eastAsia" w:ascii="仿宋_GB2312" w:hAnsi="SimSun-ExtB" w:eastAsia="仿宋_GB2312" w:cs="宋体"/>
                <w:sz w:val="24"/>
              </w:rPr>
              <w:t>得分</w:t>
            </w:r>
            <w:r>
              <w:rPr>
                <w:rFonts w:hint="eastAsia" w:ascii="仿宋" w:hAnsi="仿宋" w:eastAsia="仿宋" w:cs="宋体"/>
                <w:sz w:val="24"/>
              </w:rPr>
              <w:t>＜</w:t>
            </w:r>
            <w:r>
              <w:rPr>
                <w:rFonts w:ascii="仿宋" w:hAnsi="仿宋" w:eastAsia="仿宋" w:cs="宋体"/>
                <w:sz w:val="24"/>
              </w:rPr>
              <w:t>80</w:t>
            </w:r>
            <w:r>
              <w:rPr>
                <w:rFonts w:hint="eastAsia" w:ascii="仿宋_GB2312" w:hAnsi="SimSun-ExtB" w:eastAsia="仿宋_GB2312" w:cs="宋体"/>
                <w:sz w:val="24"/>
              </w:rPr>
              <w:t>分</w:t>
            </w:r>
            <w:r>
              <w:rPr>
                <w:rFonts w:hint="eastAsia" w:ascii="仿宋_GB2312" w:hAnsi="宋体" w:eastAsia="仿宋_GB2312" w:cs="宋体"/>
                <w:sz w:val="24"/>
              </w:rPr>
              <w:t xml:space="preserve">；□差 </w:t>
            </w:r>
            <w:r>
              <w:rPr>
                <w:rFonts w:hint="eastAsia" w:ascii="仿宋_GB2312" w:hAnsi="SimSun-ExtB" w:eastAsia="仿宋_GB2312" w:cs="宋体"/>
                <w:sz w:val="24"/>
              </w:rPr>
              <w:t>得分</w:t>
            </w:r>
            <w:r>
              <w:rPr>
                <w:rFonts w:hint="eastAsia" w:ascii="仿宋" w:hAnsi="仿宋" w:eastAsia="仿宋" w:cs="宋体"/>
                <w:sz w:val="24"/>
              </w:rPr>
              <w:t>＜60</w:t>
            </w:r>
            <w:r>
              <w:rPr>
                <w:rFonts w:hint="eastAsia" w:ascii="仿宋_GB2312" w:hAnsi="SimSun-ExtB" w:eastAsia="仿宋_GB2312" w:cs="宋体"/>
                <w:sz w:val="24"/>
              </w:rPr>
              <w:t>分</w:t>
            </w:r>
          </w:p>
        </w:tc>
      </w:tr>
    </w:tbl>
    <w:p>
      <w:pPr>
        <w:spacing w:line="600" w:lineRule="atLeast"/>
        <w:ind w:firstLine="640"/>
        <w:jc w:val="both"/>
        <w:rPr>
          <w:rFonts w:hint="eastAsia"/>
        </w:rPr>
      </w:pPr>
      <w:r>
        <w:rPr>
          <w:rStyle w:val="27"/>
          <w:rFonts w:hint="eastAsia" w:ascii="仿宋" w:hAnsi="仿宋" w:eastAsia="仿宋"/>
          <w:sz w:val="32"/>
          <w:szCs w:val="32"/>
        </w:rPr>
        <w:t>3.财政评价项目绩效评价结果无</w:t>
      </w:r>
      <w:r>
        <w:rPr>
          <w:rFonts w:hint="eastAsia" w:ascii="仿宋" w:hAnsi="仿宋" w:eastAsia="仿宋" w:cs="Arial"/>
          <w:sz w:val="32"/>
          <w:szCs w:val="32"/>
        </w:rPr>
        <w:t>。</w:t>
      </w:r>
    </w:p>
    <w:p>
      <w:pPr>
        <w:spacing w:line="600" w:lineRule="atLeast"/>
        <w:ind w:firstLine="640"/>
        <w:jc w:val="both"/>
        <w:rPr>
          <w:rFonts w:hint="eastAsia"/>
        </w:rPr>
      </w:pPr>
      <w:r>
        <w:rPr>
          <w:rStyle w:val="27"/>
          <w:rFonts w:hint="eastAsia" w:ascii="仿宋" w:hAnsi="仿宋" w:eastAsia="仿宋"/>
          <w:sz w:val="32"/>
          <w:szCs w:val="32"/>
        </w:rPr>
        <w:t>4.部门评价项目绩效评价结果无。</w:t>
      </w:r>
    </w:p>
    <w:p>
      <w:pPr>
        <w:spacing w:line="600" w:lineRule="atLeast"/>
        <w:ind w:firstLine="640"/>
        <w:jc w:val="both"/>
        <w:rPr>
          <w:rFonts w:hint="eastAsia"/>
        </w:rPr>
      </w:pPr>
      <w:r>
        <w:rPr>
          <w:rFonts w:hint="eastAsia" w:ascii="黑体" w:eastAsia="黑体" w:cs="Arial"/>
          <w:sz w:val="32"/>
          <w:szCs w:val="32"/>
        </w:rPr>
        <w:t>四、名词解释</w:t>
      </w:r>
    </w:p>
    <w:p>
      <w:pPr>
        <w:spacing w:line="600" w:lineRule="atLeast"/>
        <w:ind w:firstLine="640"/>
        <w:jc w:val="both"/>
        <w:rPr>
          <w:rFonts w:hint="eastAsia"/>
        </w:rPr>
      </w:pPr>
      <w:r>
        <w:rPr>
          <w:rFonts w:hint="eastAsia" w:ascii="仿宋" w:hAnsi="仿宋" w:eastAsia="仿宋"/>
          <w:sz w:val="32"/>
          <w:szCs w:val="32"/>
        </w:rPr>
        <w:t>1.财政拨款收入：指本级财政部门当年拨付的财政预算资金，包括一般公共预算财政拨款、政府性基金预算财政拨款和国有资本经预算财政拨款。</w:t>
      </w:r>
    </w:p>
    <w:p>
      <w:pPr>
        <w:spacing w:line="600" w:lineRule="atLeast"/>
        <w:ind w:firstLine="640"/>
        <w:jc w:val="both"/>
        <w:rPr>
          <w:rFonts w:hint="eastAsia"/>
        </w:rPr>
      </w:pPr>
      <w:r>
        <w:rPr>
          <w:rFonts w:hint="eastAsia" w:ascii="仿宋" w:hAnsi="仿宋" w:eastAsia="仿宋"/>
          <w:sz w:val="32"/>
          <w:szCs w:val="32"/>
        </w:rPr>
        <w:t>2.事业收入：指事业单位开展专业业务活动及辅助活动所取得的收入。</w:t>
      </w:r>
    </w:p>
    <w:p>
      <w:pPr>
        <w:spacing w:line="600" w:lineRule="atLeast"/>
        <w:ind w:firstLine="640"/>
        <w:jc w:val="both"/>
        <w:rPr>
          <w:rFonts w:hint="eastAsia"/>
        </w:rPr>
      </w:pPr>
      <w:r>
        <w:rPr>
          <w:rFonts w:hint="eastAsia" w:ascii="仿宋" w:hAnsi="仿宋" w:eastAsia="仿宋"/>
          <w:sz w:val="32"/>
          <w:szCs w:val="32"/>
        </w:rPr>
        <w:t>3.经营收入：指事业单位在专业业务活动及辅助活动之外开展非独立核算经营活动取得的收入。</w:t>
      </w:r>
    </w:p>
    <w:p>
      <w:pPr>
        <w:spacing w:line="600" w:lineRule="atLeast"/>
        <w:ind w:firstLine="640"/>
        <w:jc w:val="both"/>
        <w:rPr>
          <w:rFonts w:hint="eastAsia"/>
        </w:rPr>
      </w:pPr>
      <w:r>
        <w:rPr>
          <w:rFonts w:hint="eastAsia" w:ascii="仿宋" w:hAnsi="仿宋" w:eastAsia="仿宋"/>
          <w:sz w:val="32"/>
          <w:szCs w:val="32"/>
        </w:rPr>
        <w:t>4.上级补助收入：指事业单位从主管部门和上级单位取得的非财政补助收入。</w:t>
      </w:r>
    </w:p>
    <w:p>
      <w:pPr>
        <w:spacing w:line="600" w:lineRule="atLeast"/>
        <w:ind w:firstLine="640"/>
        <w:jc w:val="both"/>
        <w:rPr>
          <w:rFonts w:hint="eastAsia"/>
        </w:rPr>
      </w:pPr>
      <w:r>
        <w:rPr>
          <w:rFonts w:hint="eastAsia" w:ascii="仿宋" w:hAnsi="仿宋" w:eastAsia="仿宋"/>
          <w:sz w:val="32"/>
          <w:szCs w:val="32"/>
        </w:rPr>
        <w:t>5.附属单位上缴收入：指事业单位附属独立核算单位按照有关规定上缴的收入。</w:t>
      </w:r>
    </w:p>
    <w:p>
      <w:pPr>
        <w:spacing w:line="600" w:lineRule="atLeast"/>
        <w:ind w:firstLine="640"/>
        <w:jc w:val="both"/>
        <w:rPr>
          <w:rFonts w:hint="eastAsia"/>
        </w:rPr>
      </w:pPr>
      <w:r>
        <w:rPr>
          <w:rFonts w:hint="eastAsia" w:ascii="仿宋" w:hAnsi="仿宋" w:eastAsia="仿宋"/>
          <w:sz w:val="32"/>
          <w:szCs w:val="32"/>
        </w:rPr>
        <w:t>6.其他收入：指预算单位在“财政拨款”、“事业收入”、“经营收入”、“上级补助收入”、“附属单位上缴收入”等之外取得的各项收入。</w:t>
      </w:r>
    </w:p>
    <w:p>
      <w:pPr>
        <w:spacing w:line="600" w:lineRule="atLeast"/>
        <w:ind w:firstLine="640"/>
        <w:jc w:val="both"/>
        <w:rPr>
          <w:rFonts w:hint="eastAsia"/>
        </w:rPr>
      </w:pPr>
      <w:r>
        <w:rPr>
          <w:rFonts w:hint="eastAsia" w:ascii="仿宋" w:hAnsi="仿宋" w:eastAsia="仿宋"/>
          <w:sz w:val="32"/>
          <w:szCs w:val="32"/>
        </w:rPr>
        <w:t>7.使用非财政拨款结余：指事业单位使用以前年度积累的非财政拨款结余弥补当年收支差额的金额。</w:t>
      </w:r>
    </w:p>
    <w:p>
      <w:pPr>
        <w:spacing w:line="600" w:lineRule="atLeast"/>
        <w:ind w:firstLine="640"/>
        <w:jc w:val="both"/>
        <w:rPr>
          <w:rFonts w:hint="eastAsia"/>
        </w:rPr>
      </w:pPr>
      <w:r>
        <w:rPr>
          <w:rFonts w:hint="eastAsia" w:ascii="仿宋" w:hAnsi="仿宋" w:eastAsia="仿宋"/>
          <w:sz w:val="32"/>
          <w:szCs w:val="32"/>
        </w:rPr>
        <w:t>8.年初结转和结余：指预算单位以前年度尚未完成、结转到本年仍按原规定用途继续使用的资金。</w:t>
      </w:r>
    </w:p>
    <w:p>
      <w:pPr>
        <w:spacing w:line="600" w:lineRule="atLeast"/>
        <w:ind w:firstLine="640"/>
        <w:jc w:val="both"/>
        <w:rPr>
          <w:rFonts w:hint="eastAsia"/>
        </w:rPr>
      </w:pPr>
      <w:r>
        <w:rPr>
          <w:rFonts w:hint="eastAsia" w:ascii="仿宋" w:hAnsi="仿宋" w:eastAsia="仿宋"/>
          <w:sz w:val="32"/>
          <w:szCs w:val="32"/>
        </w:rPr>
        <w:t>9.年末结转和结余：指单位按有关规定结转到下年或以后年度继续使用的资金。</w:t>
      </w:r>
    </w:p>
    <w:p>
      <w:pPr>
        <w:spacing w:line="600" w:lineRule="atLeast"/>
        <w:ind w:firstLine="640"/>
        <w:jc w:val="both"/>
        <w:rPr>
          <w:rFonts w:hint="eastAsia"/>
        </w:rPr>
      </w:pPr>
      <w:r>
        <w:rPr>
          <w:rFonts w:hint="eastAsia" w:ascii="仿宋" w:hAnsi="仿宋" w:eastAsia="仿宋"/>
          <w:sz w:val="32"/>
          <w:szCs w:val="32"/>
        </w:rPr>
        <w:t>10.基本支出：指预算单位为保障其正常运转，完成日常工作任务所发生的支出，包括人员经费支出和日常公用经费支出。</w:t>
      </w:r>
    </w:p>
    <w:p>
      <w:pPr>
        <w:spacing w:line="600" w:lineRule="atLeast"/>
        <w:ind w:firstLine="640"/>
        <w:jc w:val="both"/>
        <w:rPr>
          <w:rFonts w:hint="eastAsia"/>
        </w:rPr>
      </w:pPr>
      <w:r>
        <w:rPr>
          <w:rFonts w:hint="eastAsia" w:ascii="仿宋" w:hAnsi="仿宋" w:eastAsia="仿宋"/>
          <w:sz w:val="32"/>
          <w:szCs w:val="32"/>
        </w:rPr>
        <w:t>11.项目支出：指预算单位为完成其特定的行政工作任务或事业发展目标所发生的支出。</w:t>
      </w:r>
    </w:p>
    <w:p>
      <w:pPr>
        <w:spacing w:line="600" w:lineRule="atLeast"/>
        <w:ind w:firstLine="640"/>
        <w:jc w:val="both"/>
        <w:rPr>
          <w:rFonts w:hint="eastAsia"/>
        </w:rPr>
      </w:pPr>
      <w:r>
        <w:rPr>
          <w:rFonts w:hint="eastAsia" w:ascii="仿宋" w:hAnsi="仿宋" w:eastAsia="仿宋"/>
          <w:sz w:val="32"/>
          <w:szCs w:val="32"/>
        </w:rPr>
        <w:t>12.上缴上级支出：填列事业单位按照财政部门和主管部门的规定上缴上级单位的支出。</w:t>
      </w:r>
    </w:p>
    <w:p>
      <w:pPr>
        <w:spacing w:line="600" w:lineRule="atLeast"/>
        <w:ind w:firstLine="640"/>
        <w:jc w:val="both"/>
        <w:rPr>
          <w:rFonts w:hint="eastAsia"/>
        </w:rPr>
      </w:pPr>
      <w:r>
        <w:rPr>
          <w:rFonts w:hint="eastAsia" w:ascii="仿宋" w:hAnsi="仿宋" w:eastAsia="仿宋"/>
          <w:sz w:val="32"/>
          <w:szCs w:val="32"/>
        </w:rPr>
        <w:t>13.经营支出：指事业单位在专业业务活动及其辅助活动之外开展非独立核算经营活动发生的支出。</w:t>
      </w:r>
    </w:p>
    <w:p>
      <w:pPr>
        <w:spacing w:line="600" w:lineRule="atLeast"/>
        <w:ind w:firstLine="640"/>
        <w:jc w:val="both"/>
        <w:rPr>
          <w:rFonts w:hint="eastAsia"/>
        </w:rPr>
      </w:pPr>
      <w:r>
        <w:rPr>
          <w:rFonts w:hint="eastAsia" w:ascii="仿宋" w:hAnsi="仿宋" w:eastAsia="仿宋"/>
          <w:sz w:val="32"/>
          <w:szCs w:val="32"/>
        </w:rPr>
        <w:t>14.附属单位补助支出：填列事业单位用财政补助收入之外的收入对附属单位补助发生的支出。</w:t>
      </w:r>
    </w:p>
    <w:p>
      <w:pPr>
        <w:spacing w:line="600" w:lineRule="atLeast"/>
        <w:ind w:firstLine="640"/>
        <w:jc w:val="both"/>
        <w:rPr>
          <w:rFonts w:hint="eastAsia"/>
        </w:rPr>
      </w:pPr>
      <w:r>
        <w:rPr>
          <w:rFonts w:hint="eastAsia" w:ascii="仿宋" w:hAnsi="仿宋" w:eastAsia="仿宋"/>
          <w:sz w:val="32"/>
          <w:szCs w:val="32"/>
        </w:rPr>
        <w:t>15.“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费、维修费、过桥过路费、保险费、安全奖励费用等支出；公务接待费反映单位按规定开支的各类公务接待（含外宾接待）支出。</w:t>
      </w:r>
    </w:p>
    <w:p>
      <w:pPr>
        <w:spacing w:line="600" w:lineRule="atLeast"/>
        <w:ind w:firstLine="640"/>
        <w:jc w:val="both"/>
        <w:rPr>
          <w:rFonts w:hint="eastAsia" w:ascii="仿宋" w:hAnsi="仿宋" w:eastAsia="仿宋"/>
          <w:sz w:val="32"/>
          <w:szCs w:val="32"/>
        </w:rPr>
      </w:pPr>
      <w:r>
        <w:rPr>
          <w:rFonts w:hint="eastAsia" w:ascii="仿宋" w:hAnsi="仿宋" w:eastAsia="仿宋"/>
          <w:sz w:val="32"/>
          <w:szCs w:val="32"/>
        </w:rPr>
        <w:t>16.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atLeast"/>
        <w:ind w:firstLine="640"/>
        <w:jc w:val="both"/>
        <w:rPr>
          <w:rFonts w:hint="eastAsia" w:ascii="仿宋" w:hAnsi="仿宋" w:eastAsia="仿宋" w:cs="仿宋"/>
          <w:color w:val="000000"/>
          <w:kern w:val="0"/>
          <w:sz w:val="32"/>
          <w:szCs w:val="32"/>
          <w:highlight w:val="none"/>
        </w:rPr>
      </w:pPr>
      <w:r>
        <w:rPr>
          <w:rFonts w:hint="eastAsia" w:ascii="仿宋" w:hAnsi="仿宋" w:eastAsia="仿宋"/>
          <w:sz w:val="32"/>
          <w:szCs w:val="32"/>
          <w:highlight w:val="none"/>
          <w:lang w:val="en-US" w:eastAsia="zh-CN"/>
        </w:rPr>
        <w:t>17</w:t>
      </w:r>
      <w:r>
        <w:rPr>
          <w:rFonts w:hint="eastAsia" w:ascii="仿宋" w:hAnsi="仿宋" w:eastAsia="仿宋" w:cs="仿宋"/>
          <w:color w:val="000000"/>
          <w:kern w:val="0"/>
          <w:sz w:val="32"/>
          <w:szCs w:val="32"/>
          <w:highlight w:val="none"/>
        </w:rPr>
        <w:t>.一般公共服务支出（类）组织事务（款）其他组织事务支出（项）：反映除上述项目以外其他用于中国共产党组织部门的事务支出。</w:t>
      </w:r>
    </w:p>
    <w:p>
      <w:pPr>
        <w:spacing w:line="560" w:lineRule="exact"/>
        <w:ind w:left="0" w:firstLine="640" w:firstLineChars="200"/>
        <w:rPr>
          <w:rFonts w:hint="eastAsia" w:ascii="仿宋" w:hAnsi="仿宋" w:eastAsia="仿宋" w:cs="仿宋"/>
          <w:color w:val="000000"/>
          <w:kern w:val="0"/>
          <w:sz w:val="32"/>
          <w:szCs w:val="32"/>
        </w:rPr>
      </w:pPr>
      <w:r>
        <w:rPr>
          <w:rFonts w:hint="eastAsia" w:ascii="仿宋" w:hAnsi="仿宋" w:eastAsia="仿宋" w:cs="Arial"/>
          <w:sz w:val="32"/>
          <w:szCs w:val="32"/>
          <w:lang w:val="en-US" w:eastAsia="zh-CN"/>
        </w:rPr>
        <w:t>18.</w:t>
      </w:r>
      <w:r>
        <w:rPr>
          <w:rFonts w:hint="eastAsia" w:ascii="仿宋" w:hAnsi="仿宋" w:eastAsia="仿宋" w:cs="Arial"/>
          <w:sz w:val="32"/>
          <w:szCs w:val="32"/>
        </w:rPr>
        <w:t>科学技术支出（类）科学技术管理事务（款）行政运行（项）</w:t>
      </w:r>
      <w:r>
        <w:rPr>
          <w:rFonts w:hint="eastAsia" w:ascii="仿宋" w:hAnsi="仿宋" w:eastAsia="仿宋" w:cs="Arial"/>
          <w:sz w:val="32"/>
          <w:szCs w:val="32"/>
          <w:lang w:val="en-US" w:eastAsia="zh-CN"/>
        </w:rPr>
        <w:t>:</w:t>
      </w:r>
      <w:r>
        <w:rPr>
          <w:rFonts w:hint="eastAsia" w:ascii="仿宋" w:hAnsi="仿宋" w:eastAsia="仿宋" w:cs="仿宋"/>
          <w:color w:val="000000"/>
          <w:kern w:val="0"/>
          <w:sz w:val="32"/>
          <w:szCs w:val="32"/>
        </w:rPr>
        <w:t>反映行政单位的基本支出。</w:t>
      </w:r>
    </w:p>
    <w:p>
      <w:pPr>
        <w:spacing w:line="560" w:lineRule="exact"/>
        <w:ind w:left="0" w:firstLine="640" w:firstLineChars="200"/>
        <w:rPr>
          <w:rFonts w:hint="eastAsia" w:ascii="仿宋" w:hAnsi="仿宋" w:eastAsia="仿宋" w:cs="Arial"/>
          <w:sz w:val="32"/>
          <w:szCs w:val="32"/>
          <w:lang w:val="en-US" w:eastAsia="zh-CN"/>
        </w:rPr>
      </w:pPr>
      <w:r>
        <w:rPr>
          <w:rFonts w:hint="eastAsia" w:ascii="仿宋" w:hAnsi="仿宋" w:eastAsia="仿宋" w:cs="Arial"/>
          <w:sz w:val="32"/>
          <w:szCs w:val="32"/>
          <w:lang w:val="en-US" w:eastAsia="zh-CN"/>
        </w:rPr>
        <w:t>19.</w:t>
      </w:r>
      <w:r>
        <w:rPr>
          <w:rFonts w:hint="eastAsia" w:ascii="仿宋" w:hAnsi="仿宋" w:eastAsia="仿宋" w:cs="Arial"/>
          <w:sz w:val="32"/>
          <w:szCs w:val="32"/>
        </w:rPr>
        <w:t>科学技术支出（类）科学技术管理事务（款）一般行政管理事务（项）</w:t>
      </w:r>
      <w:r>
        <w:rPr>
          <w:rFonts w:hint="eastAsia" w:ascii="仿宋" w:hAnsi="仿宋" w:eastAsia="仿宋" w:cs="Arial"/>
          <w:sz w:val="32"/>
          <w:szCs w:val="32"/>
          <w:lang w:val="en-US" w:eastAsia="zh-CN"/>
        </w:rPr>
        <w:t>:</w:t>
      </w:r>
      <w:r>
        <w:rPr>
          <w:rFonts w:hint="eastAsia" w:ascii="仿宋" w:hAnsi="仿宋" w:eastAsia="仿宋" w:cs="仿宋"/>
          <w:color w:val="000000"/>
          <w:kern w:val="0"/>
          <w:sz w:val="32"/>
          <w:szCs w:val="32"/>
        </w:rPr>
        <w:t>反映行政单位未单独设置项级科目的其他项目支出。</w:t>
      </w:r>
    </w:p>
    <w:p>
      <w:pPr>
        <w:spacing w:line="600" w:lineRule="atLeast"/>
        <w:ind w:firstLine="640"/>
        <w:jc w:val="both"/>
        <w:rPr>
          <w:rFonts w:hint="eastAsia" w:ascii="仿宋" w:hAnsi="仿宋" w:eastAsia="仿宋" w:cs="Arial"/>
          <w:sz w:val="32"/>
          <w:szCs w:val="32"/>
          <w:lang w:val="en-US" w:eastAsia="zh-CN"/>
        </w:rPr>
      </w:pPr>
      <w:r>
        <w:rPr>
          <w:rFonts w:hint="eastAsia" w:ascii="仿宋" w:hAnsi="仿宋" w:eastAsia="仿宋" w:cs="Arial"/>
          <w:sz w:val="32"/>
          <w:szCs w:val="32"/>
          <w:lang w:val="en-US" w:eastAsia="zh-CN"/>
        </w:rPr>
        <w:t>20.</w:t>
      </w:r>
      <w:r>
        <w:rPr>
          <w:rFonts w:hint="eastAsia" w:ascii="仿宋" w:hAnsi="仿宋" w:eastAsia="仿宋" w:cs="Arial"/>
          <w:sz w:val="32"/>
          <w:szCs w:val="32"/>
        </w:rPr>
        <w:t>科学技术支出（类）科学技术管理事务（款）其他科学技术管理事务支出（项）</w:t>
      </w:r>
      <w:r>
        <w:rPr>
          <w:rFonts w:hint="eastAsia" w:ascii="仿宋" w:hAnsi="仿宋" w:eastAsia="仿宋" w:cs="Arial"/>
          <w:sz w:val="32"/>
          <w:szCs w:val="32"/>
          <w:lang w:val="en-US" w:eastAsia="zh-CN"/>
        </w:rPr>
        <w:t>:反映除上述项目以外其他用于科学机关管理事务方面的支出。</w:t>
      </w:r>
    </w:p>
    <w:p>
      <w:pPr>
        <w:spacing w:line="600" w:lineRule="atLeast"/>
        <w:ind w:firstLine="640"/>
        <w:jc w:val="both"/>
        <w:rPr>
          <w:rFonts w:hint="eastAsia" w:ascii="仿宋" w:hAnsi="仿宋" w:eastAsia="仿宋" w:cs="Arial"/>
          <w:sz w:val="32"/>
          <w:szCs w:val="32"/>
          <w:lang w:val="en-US" w:eastAsia="zh-CN"/>
        </w:rPr>
      </w:pPr>
      <w:r>
        <w:rPr>
          <w:rFonts w:hint="eastAsia" w:ascii="仿宋" w:hAnsi="仿宋" w:eastAsia="仿宋" w:cs="Arial"/>
          <w:sz w:val="32"/>
          <w:szCs w:val="32"/>
          <w:lang w:val="en-US" w:eastAsia="zh-CN"/>
        </w:rPr>
        <w:t>21.</w:t>
      </w:r>
      <w:r>
        <w:rPr>
          <w:rFonts w:hint="eastAsia" w:ascii="仿宋" w:hAnsi="仿宋" w:eastAsia="仿宋" w:cs="Arial"/>
          <w:sz w:val="32"/>
          <w:szCs w:val="32"/>
        </w:rPr>
        <w:t>科学技术支出（类）技术研究与开发（款）其他技术研究与开发支出（项）</w:t>
      </w:r>
      <w:r>
        <w:rPr>
          <w:rFonts w:hint="eastAsia" w:ascii="仿宋" w:hAnsi="仿宋" w:eastAsia="仿宋" w:cs="Arial"/>
          <w:sz w:val="32"/>
          <w:szCs w:val="32"/>
          <w:lang w:val="en-US" w:eastAsia="zh-CN"/>
        </w:rPr>
        <w:t>:反映除上述项目以外其他用于技术研究与开发方面的支出。</w:t>
      </w:r>
    </w:p>
    <w:p>
      <w:pPr>
        <w:spacing w:line="600" w:lineRule="atLeast"/>
        <w:ind w:left="0" w:firstLine="640"/>
        <w:jc w:val="both"/>
        <w:rPr>
          <w:rFonts w:hint="eastAsia" w:ascii="仿宋" w:hAnsi="仿宋" w:eastAsia="仿宋" w:cs="Arial"/>
          <w:kern w:val="0"/>
          <w:sz w:val="32"/>
          <w:szCs w:val="32"/>
        </w:rPr>
      </w:pPr>
      <w:r>
        <w:rPr>
          <w:rFonts w:hint="eastAsia" w:ascii="仿宋" w:hAnsi="仿宋" w:eastAsia="仿宋" w:cs="Arial"/>
          <w:sz w:val="32"/>
          <w:szCs w:val="32"/>
          <w:lang w:val="en-US" w:eastAsia="zh-CN"/>
        </w:rPr>
        <w:t>22.</w:t>
      </w:r>
      <w:r>
        <w:rPr>
          <w:rFonts w:hint="eastAsia" w:ascii="仿宋" w:hAnsi="仿宋" w:eastAsia="仿宋" w:cs="仿宋"/>
          <w:kern w:val="0"/>
          <w:sz w:val="32"/>
          <w:szCs w:val="32"/>
        </w:rPr>
        <w:t>社会保障和就业支出(类)行政事业单位养老支出（款）机关事业单位基本养老保险缴费支出（项）：反映机关事业单位实施养老保险制度由单位缴纳的基本养老保险费支出。</w:t>
      </w:r>
    </w:p>
    <w:p>
      <w:pPr>
        <w:spacing w:line="600" w:lineRule="atLeast"/>
        <w:ind w:left="0" w:firstLine="640"/>
        <w:jc w:val="both"/>
        <w:rPr>
          <w:rFonts w:hint="eastAsia" w:ascii="仿宋" w:hAnsi="仿宋" w:eastAsia="仿宋" w:cs="Arial"/>
          <w:kern w:val="0"/>
          <w:sz w:val="32"/>
          <w:szCs w:val="32"/>
        </w:rPr>
      </w:pPr>
      <w:r>
        <w:rPr>
          <w:rFonts w:hint="eastAsia" w:ascii="仿宋" w:hAnsi="仿宋" w:eastAsia="仿宋" w:cs="仿宋"/>
          <w:kern w:val="0"/>
          <w:sz w:val="32"/>
          <w:szCs w:val="32"/>
          <w:lang w:val="en-US" w:eastAsia="zh-CN"/>
        </w:rPr>
        <w:t>23</w:t>
      </w:r>
      <w:r>
        <w:rPr>
          <w:rFonts w:hint="eastAsia" w:ascii="仿宋" w:hAnsi="仿宋" w:eastAsia="仿宋" w:cs="仿宋"/>
          <w:kern w:val="0"/>
          <w:sz w:val="32"/>
          <w:szCs w:val="32"/>
        </w:rPr>
        <w:t>.社会保障和就业支出(类)行政事业单位养老支出（款）机关事业单位职业年金缴费支出（项）：反映机关事业单位实施养老保险制度由单位实际缴纳的职业年金支出。</w:t>
      </w:r>
    </w:p>
    <w:p>
      <w:pPr>
        <w:spacing w:line="600" w:lineRule="atLeast"/>
        <w:ind w:left="0" w:firstLine="640"/>
        <w:jc w:val="both"/>
        <w:rPr>
          <w:rFonts w:hint="eastAsia" w:ascii="仿宋" w:hAnsi="仿宋" w:eastAsia="仿宋" w:cs="Arial"/>
          <w:kern w:val="0"/>
          <w:sz w:val="32"/>
          <w:szCs w:val="32"/>
        </w:rPr>
      </w:pPr>
      <w:r>
        <w:rPr>
          <w:rFonts w:hint="eastAsia" w:ascii="仿宋" w:hAnsi="仿宋" w:eastAsia="仿宋" w:cs="仿宋"/>
          <w:kern w:val="0"/>
          <w:sz w:val="32"/>
          <w:szCs w:val="32"/>
          <w:lang w:val="en-US" w:eastAsia="zh-CN"/>
        </w:rPr>
        <w:t>24</w:t>
      </w:r>
      <w:r>
        <w:rPr>
          <w:rFonts w:hint="eastAsia" w:ascii="仿宋" w:hAnsi="仿宋" w:eastAsia="仿宋" w:cs="仿宋"/>
          <w:kern w:val="0"/>
          <w:sz w:val="32"/>
          <w:szCs w:val="32"/>
        </w:rPr>
        <w:t>.社会保障和就业支出（类）其他社会保障和就业支出（款）其他社会保障和就业支出（项）:指除上述项目以外其他用于社会保障和就业方面的支出。</w:t>
      </w:r>
    </w:p>
    <w:p>
      <w:pPr>
        <w:spacing w:line="600" w:lineRule="atLeast"/>
        <w:ind w:left="0" w:firstLine="640"/>
        <w:jc w:val="both"/>
        <w:rPr>
          <w:rFonts w:hint="eastAsia" w:ascii="仿宋" w:hAnsi="仿宋" w:eastAsia="仿宋" w:cs="Arial"/>
          <w:kern w:val="0"/>
          <w:sz w:val="32"/>
          <w:szCs w:val="32"/>
        </w:rPr>
      </w:pPr>
      <w:r>
        <w:rPr>
          <w:rFonts w:hint="eastAsia" w:ascii="仿宋" w:hAnsi="仿宋" w:eastAsia="仿宋" w:cs="仿宋"/>
          <w:kern w:val="0"/>
          <w:sz w:val="32"/>
          <w:szCs w:val="32"/>
        </w:rPr>
        <w:t>2</w:t>
      </w:r>
      <w:r>
        <w:rPr>
          <w:rFonts w:hint="eastAsia" w:ascii="仿宋" w:hAnsi="仿宋" w:eastAsia="仿宋" w:cs="仿宋"/>
          <w:kern w:val="0"/>
          <w:sz w:val="32"/>
          <w:szCs w:val="32"/>
          <w:lang w:val="en-US" w:eastAsia="zh-CN"/>
        </w:rPr>
        <w:t>5</w:t>
      </w:r>
      <w:r>
        <w:rPr>
          <w:rFonts w:hint="eastAsia" w:ascii="仿宋" w:hAnsi="仿宋" w:eastAsia="仿宋" w:cs="仿宋"/>
          <w:kern w:val="0"/>
          <w:sz w:val="32"/>
          <w:szCs w:val="32"/>
        </w:rPr>
        <w:t>.卫生健康支出(类)行政事业单位医疗（款）行政单位医疗（项）：反映财政部门安排的行政单位基本医疗保险缴费经费，未参加医疗保险的行政单位的公费医疗经费，按国家规定享受离休人员、红军老战士待遇人员的医疗经费。</w:t>
      </w:r>
    </w:p>
    <w:p>
      <w:pPr>
        <w:spacing w:line="600" w:lineRule="atLeast"/>
        <w:ind w:firstLine="640"/>
        <w:jc w:val="both"/>
        <w:rPr>
          <w:rFonts w:hint="eastAsia" w:ascii="仿宋" w:hAnsi="仿宋" w:eastAsia="仿宋" w:cs="Arial"/>
          <w:sz w:val="32"/>
          <w:szCs w:val="32"/>
          <w:lang w:eastAsia="zh-CN"/>
        </w:rPr>
      </w:pPr>
      <w:r>
        <w:rPr>
          <w:rFonts w:hint="eastAsia" w:ascii="仿宋" w:hAnsi="仿宋" w:eastAsia="仿宋" w:cs="Arial"/>
          <w:sz w:val="32"/>
          <w:szCs w:val="32"/>
          <w:lang w:val="en-US" w:eastAsia="zh-CN"/>
        </w:rPr>
        <w:t>26.</w:t>
      </w:r>
      <w:r>
        <w:rPr>
          <w:rFonts w:hint="eastAsia" w:ascii="仿宋" w:hAnsi="仿宋" w:eastAsia="仿宋" w:cs="Arial"/>
          <w:sz w:val="32"/>
          <w:szCs w:val="32"/>
        </w:rPr>
        <w:t>城乡社区支出（类）其他城乡社区支出（款）其他城乡社区支出（项）</w:t>
      </w:r>
      <w:r>
        <w:rPr>
          <w:rFonts w:hint="eastAsia" w:ascii="仿宋" w:hAnsi="仿宋" w:eastAsia="仿宋" w:cs="Arial"/>
          <w:sz w:val="32"/>
          <w:szCs w:val="32"/>
          <w:lang w:eastAsia="zh-CN"/>
        </w:rPr>
        <w:t>：反映除上述项目以外其他用于城乡社区方面的支出。</w:t>
      </w:r>
    </w:p>
    <w:p>
      <w:pPr>
        <w:spacing w:line="600" w:lineRule="atLeast"/>
        <w:ind w:firstLine="640"/>
        <w:jc w:val="both"/>
        <w:rPr>
          <w:rFonts w:hint="eastAsia" w:ascii="仿宋" w:hAnsi="仿宋" w:eastAsia="仿宋" w:cs="Arial"/>
          <w:sz w:val="32"/>
          <w:szCs w:val="32"/>
          <w:lang w:eastAsia="zh-CN"/>
        </w:rPr>
      </w:pPr>
      <w:r>
        <w:rPr>
          <w:rFonts w:hint="eastAsia" w:ascii="仿宋" w:hAnsi="仿宋" w:eastAsia="仿宋" w:cs="Arial"/>
          <w:sz w:val="32"/>
          <w:szCs w:val="32"/>
          <w:lang w:val="en-US" w:eastAsia="zh-CN"/>
        </w:rPr>
        <w:t>27.</w:t>
      </w:r>
      <w:r>
        <w:rPr>
          <w:rFonts w:hint="eastAsia" w:ascii="仿宋" w:hAnsi="仿宋" w:eastAsia="仿宋" w:cs="Arial"/>
          <w:sz w:val="32"/>
          <w:szCs w:val="32"/>
        </w:rPr>
        <w:t>自然资源海洋气象等支出（类）自然资源事务（款）其他自然资源事务支出（项）</w:t>
      </w:r>
      <w:r>
        <w:rPr>
          <w:rFonts w:hint="eastAsia" w:ascii="仿宋" w:hAnsi="仿宋" w:eastAsia="仿宋" w:cs="Arial"/>
          <w:sz w:val="32"/>
          <w:szCs w:val="32"/>
          <w:lang w:eastAsia="zh-CN"/>
        </w:rPr>
        <w:t>：反映除上述项目以外其他用于自然资源事务方面的支出。</w:t>
      </w:r>
    </w:p>
    <w:p>
      <w:pPr>
        <w:keepNext w:val="0"/>
        <w:keepLines w:val="0"/>
        <w:widowControl/>
        <w:suppressLineNumbers w:val="0"/>
        <w:spacing w:line="560" w:lineRule="exact"/>
        <w:ind w:left="0" w:firstLine="640" w:firstLineChars="200"/>
        <w:rPr>
          <w:rFonts w:hint="eastAsia" w:ascii="仿宋" w:hAnsi="仿宋" w:eastAsia="仿宋" w:cs="仿宋"/>
          <w:color w:val="000000"/>
          <w:kern w:val="0"/>
          <w:sz w:val="32"/>
          <w:szCs w:val="32"/>
        </w:rPr>
      </w:pPr>
      <w:r>
        <w:rPr>
          <w:rFonts w:hint="eastAsia" w:ascii="仿宋" w:hAnsi="仿宋" w:eastAsia="仿宋" w:cs="Arial"/>
          <w:sz w:val="32"/>
          <w:szCs w:val="32"/>
          <w:lang w:val="en-US" w:eastAsia="zh-CN"/>
        </w:rPr>
        <w:t>28.</w:t>
      </w:r>
      <w:r>
        <w:rPr>
          <w:rFonts w:hint="eastAsia" w:ascii="仿宋" w:hAnsi="仿宋" w:eastAsia="仿宋" w:cs="Arial"/>
          <w:sz w:val="32"/>
          <w:szCs w:val="32"/>
        </w:rPr>
        <w:t>住房保障支出（类）住房保障支出（款）住房公积金（项）</w:t>
      </w:r>
      <w:r>
        <w:rPr>
          <w:rFonts w:hint="eastAsia" w:ascii="仿宋" w:hAnsi="仿宋" w:eastAsia="仿宋" w:cs="Arial"/>
          <w:sz w:val="32"/>
          <w:szCs w:val="32"/>
          <w:lang w:val="en-US" w:eastAsia="zh-CN"/>
        </w:rPr>
        <w:t>:</w:t>
      </w:r>
      <w:r>
        <w:rPr>
          <w:rFonts w:hint="eastAsia" w:ascii="仿宋" w:hAnsi="仿宋" w:eastAsia="仿宋" w:cs="仿宋"/>
          <w:kern w:val="0"/>
          <w:sz w:val="32"/>
          <w:szCs w:val="32"/>
        </w:rPr>
        <w:t>指</w:t>
      </w:r>
      <w:r>
        <w:rPr>
          <w:rFonts w:hint="default" w:ascii="仿宋_GB2312" w:hAnsi="宋体" w:eastAsia="仿宋_GB2312" w:cs="仿宋_GB2312"/>
          <w:bCs w:val="0"/>
          <w:color w:val="000000"/>
          <w:kern w:val="0"/>
          <w:sz w:val="32"/>
          <w:szCs w:val="32"/>
        </w:rPr>
        <w:t>机关事业单位实施住房保障制度由单位缴纳的住房公积金支出。</w:t>
      </w:r>
    </w:p>
    <w:p>
      <w:pPr>
        <w:spacing w:line="600" w:lineRule="atLeast"/>
        <w:ind w:left="0" w:firstLine="640" w:firstLineChars="200"/>
        <w:jc w:val="both"/>
        <w:rPr>
          <w:rFonts w:hint="eastAsia" w:ascii="仿宋" w:hAnsi="仿宋" w:eastAsia="仿宋" w:cs="仿宋"/>
          <w:sz w:val="32"/>
          <w:szCs w:val="32"/>
          <w:lang w:val="en-US"/>
        </w:rPr>
      </w:pPr>
      <w:r>
        <w:rPr>
          <w:rFonts w:hint="eastAsia" w:ascii="仿宋" w:hAnsi="仿宋" w:eastAsia="仿宋" w:cs="Arial"/>
          <w:sz w:val="32"/>
          <w:szCs w:val="32"/>
          <w:lang w:val="en-US" w:eastAsia="zh-CN"/>
        </w:rPr>
        <w:t>29.</w:t>
      </w:r>
      <w:r>
        <w:rPr>
          <w:rFonts w:hint="eastAsia" w:ascii="仿宋" w:hAnsi="仿宋" w:eastAsia="仿宋" w:cs="Arial"/>
          <w:sz w:val="32"/>
          <w:szCs w:val="32"/>
        </w:rPr>
        <w:t>其他支出（类）其他支出（款）其他支出（项）</w:t>
      </w:r>
      <w:r>
        <w:rPr>
          <w:rFonts w:hint="eastAsia" w:ascii="仿宋" w:hAnsi="仿宋" w:eastAsia="仿宋" w:cs="Arial"/>
          <w:sz w:val="32"/>
          <w:szCs w:val="32"/>
          <w:lang w:val="en-US" w:eastAsia="zh-CN"/>
        </w:rPr>
        <w:t>:</w:t>
      </w:r>
      <w:r>
        <w:rPr>
          <w:rFonts w:hint="eastAsia" w:ascii="仿宋" w:hAnsi="仿宋" w:eastAsia="仿宋" w:cs="仿宋"/>
          <w:sz w:val="32"/>
          <w:szCs w:val="32"/>
          <w:lang w:eastAsia="zh-CN"/>
        </w:rPr>
        <w:t>反映除上述项目以外其他不能划分到具体功能科目中的支出项目。</w:t>
      </w:r>
    </w:p>
    <w:p>
      <w:pPr>
        <w:spacing w:line="600" w:lineRule="atLeast"/>
        <w:ind w:firstLine="640"/>
        <w:jc w:val="both"/>
        <w:rPr>
          <w:rFonts w:hint="eastAsia" w:ascii="仿宋" w:hAnsi="仿宋" w:eastAsia="仿宋" w:cs="Arial"/>
          <w:sz w:val="32"/>
          <w:szCs w:val="32"/>
          <w:lang w:val="en-US"/>
        </w:rPr>
      </w:pPr>
      <w:r>
        <w:rPr>
          <w:rFonts w:hint="eastAsia" w:ascii="仿宋" w:hAnsi="仿宋" w:eastAsia="仿宋" w:cs="Arial"/>
          <w:sz w:val="32"/>
          <w:szCs w:val="32"/>
          <w:lang w:val="en-US" w:eastAsia="zh-CN"/>
        </w:rPr>
        <w:t>30.</w:t>
      </w:r>
      <w:r>
        <w:rPr>
          <w:rFonts w:hint="eastAsia" w:ascii="仿宋" w:hAnsi="仿宋" w:eastAsia="仿宋" w:cs="Arial"/>
          <w:sz w:val="32"/>
          <w:szCs w:val="32"/>
        </w:rPr>
        <w:t>城乡社区支出（类）国有土地使用权出让收入安排的支出（款）征地和拆迁补偿支出（项）</w:t>
      </w:r>
      <w:r>
        <w:rPr>
          <w:rFonts w:hint="eastAsia" w:ascii="仿宋" w:hAnsi="仿宋" w:eastAsia="仿宋" w:cs="Arial"/>
          <w:sz w:val="32"/>
          <w:szCs w:val="32"/>
          <w:lang w:eastAsia="zh-CN"/>
        </w:rPr>
        <w:t>：</w:t>
      </w:r>
      <w:r>
        <w:rPr>
          <w:rFonts w:hint="eastAsia" w:ascii="仿宋" w:hAnsi="仿宋" w:eastAsia="仿宋" w:cs="Arial"/>
          <w:sz w:val="32"/>
          <w:szCs w:val="32"/>
          <w:lang w:val="en-US" w:eastAsia="zh-CN"/>
        </w:rPr>
        <w:t>反映地方政府在征地和收购土地过程中支付的土地补偿费、安置补助费、地上附着和青苗补偿费、拆迁补偿费支出。</w:t>
      </w:r>
    </w:p>
    <w:p>
      <w:pPr>
        <w:spacing w:line="600" w:lineRule="atLeast"/>
        <w:ind w:firstLine="640"/>
        <w:jc w:val="both"/>
        <w:rPr>
          <w:rFonts w:hint="eastAsia" w:ascii="仿宋" w:hAnsi="仿宋" w:eastAsia="仿宋" w:cs="Arial"/>
          <w:sz w:val="32"/>
          <w:szCs w:val="32"/>
          <w:lang w:eastAsia="zh-CN"/>
        </w:rPr>
      </w:pPr>
      <w:r>
        <w:rPr>
          <w:rFonts w:hint="eastAsia" w:ascii="仿宋" w:hAnsi="仿宋" w:eastAsia="仿宋" w:cs="Arial"/>
          <w:sz w:val="32"/>
          <w:szCs w:val="32"/>
          <w:lang w:val="en-US" w:eastAsia="zh-CN"/>
        </w:rPr>
        <w:t>31.</w:t>
      </w:r>
      <w:r>
        <w:rPr>
          <w:rFonts w:hint="eastAsia" w:ascii="仿宋" w:hAnsi="仿宋" w:eastAsia="仿宋" w:cs="Arial"/>
          <w:sz w:val="32"/>
          <w:szCs w:val="32"/>
        </w:rPr>
        <w:t>城乡社区支出（类）国有土地使用权出让收入安排的支出（款）其他国有土地使用权出让收入安排的支出（项）</w:t>
      </w:r>
      <w:r>
        <w:rPr>
          <w:rFonts w:hint="eastAsia" w:ascii="仿宋" w:hAnsi="仿宋" w:eastAsia="仿宋" w:cs="Arial"/>
          <w:sz w:val="32"/>
          <w:szCs w:val="32"/>
          <w:lang w:eastAsia="zh-CN"/>
        </w:rPr>
        <w:t>：反映土地出让收入用于其他方面的支出。不包括市县级政府当年按规定用土地出让收入向中央和省级政府缴纳的新增建设用地有偿使用费的支出。</w:t>
      </w:r>
    </w:p>
    <w:p>
      <w:pPr>
        <w:spacing w:line="600" w:lineRule="atLeast"/>
        <w:ind w:firstLine="640"/>
        <w:jc w:val="both"/>
        <w:rPr>
          <w:rFonts w:hint="eastAsia" w:ascii="仿宋" w:hAnsi="仿宋" w:eastAsia="仿宋" w:cs="Arial"/>
          <w:sz w:val="32"/>
          <w:szCs w:val="32"/>
          <w:lang w:eastAsia="zh-CN"/>
        </w:rPr>
      </w:pPr>
      <w:r>
        <w:rPr>
          <w:rFonts w:hint="eastAsia" w:ascii="仿宋" w:hAnsi="仿宋" w:eastAsia="仿宋" w:cs="Arial"/>
          <w:sz w:val="32"/>
          <w:szCs w:val="32"/>
          <w:lang w:val="en-US" w:eastAsia="zh-CN"/>
        </w:rPr>
        <w:t>32.</w:t>
      </w:r>
      <w:r>
        <w:rPr>
          <w:rFonts w:hint="eastAsia" w:ascii="仿宋" w:hAnsi="仿宋" w:eastAsia="仿宋" w:cs="Arial"/>
          <w:sz w:val="32"/>
          <w:szCs w:val="32"/>
        </w:rPr>
        <w:t>城乡社区支出（类）城市基础设施配套费安排的支出（款）城市公共设施（项）</w:t>
      </w:r>
      <w:r>
        <w:rPr>
          <w:rFonts w:hint="eastAsia" w:ascii="仿宋" w:hAnsi="仿宋" w:eastAsia="仿宋" w:cs="Arial"/>
          <w:sz w:val="32"/>
          <w:szCs w:val="32"/>
          <w:lang w:eastAsia="zh-CN"/>
        </w:rPr>
        <w:t>：反映城市基础设施配套费安排用于城市道路、桥涵、公共交通、道路照明、供排水、燃气、供热等公共设施维护、建设和管理方面的支出。</w:t>
      </w:r>
    </w:p>
    <w:p>
      <w:pPr>
        <w:spacing w:line="600" w:lineRule="atLeast"/>
        <w:ind w:left="0" w:firstLine="640"/>
        <w:jc w:val="both"/>
        <w:rPr>
          <w:rFonts w:hint="eastAsia" w:ascii="仿宋" w:hAnsi="仿宋" w:eastAsia="仿宋" w:cs="Arial"/>
          <w:sz w:val="32"/>
          <w:szCs w:val="32"/>
          <w:lang w:val="en-US" w:eastAsia="zh-CN"/>
        </w:rPr>
      </w:pPr>
      <w:r>
        <w:rPr>
          <w:rFonts w:hint="eastAsia" w:ascii="仿宋" w:hAnsi="仿宋" w:eastAsia="仿宋" w:cs="Arial"/>
          <w:sz w:val="32"/>
          <w:szCs w:val="32"/>
          <w:lang w:val="en-US" w:eastAsia="zh-CN"/>
        </w:rPr>
        <w:t>33.</w:t>
      </w:r>
      <w:r>
        <w:rPr>
          <w:rFonts w:hint="eastAsia" w:ascii="仿宋" w:hAnsi="仿宋" w:eastAsia="仿宋" w:cs="Arial"/>
          <w:sz w:val="32"/>
          <w:szCs w:val="32"/>
        </w:rPr>
        <w:t>其他支出（类）其他政府性基金及对应专项债券收入安排的支出（款）其他政府性基金安排的支出（项）</w:t>
      </w:r>
      <w:r>
        <w:rPr>
          <w:rFonts w:hint="eastAsia" w:ascii="仿宋" w:hAnsi="仿宋" w:eastAsia="仿宋" w:cs="Arial"/>
          <w:sz w:val="32"/>
          <w:szCs w:val="32"/>
          <w:lang w:eastAsia="zh-CN"/>
        </w:rPr>
        <w:t>：</w:t>
      </w:r>
      <w:r>
        <w:rPr>
          <w:rFonts w:hint="eastAsia" w:ascii="仿宋" w:hAnsi="仿宋" w:eastAsia="仿宋" w:cs="仿宋"/>
          <w:sz w:val="32"/>
          <w:szCs w:val="32"/>
          <w:lang w:eastAsia="zh-CN"/>
        </w:rPr>
        <w:t xml:space="preserve">反映其他政府性基金安排的支出（包括以前年度欠款收入安排的支出）。 </w:t>
      </w:r>
    </w:p>
    <w:sectPr>
      <w:pgSz w:w="11915" w:h="16851"/>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5F" w:usb2="00000000"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00000000000000000"/>
    <w:charset w:val="86"/>
    <w:family w:val="auto"/>
    <w:pitch w:val="default"/>
    <w:sig w:usb0="00000000" w:usb1="00000000" w:usb2="00000012" w:usb3="00000000" w:csb0="00040001" w:csb1="00000000"/>
  </w:font>
  <w:font w:name="SimSun-ExtB">
    <w:panose1 w:val="02010609060101010101"/>
    <w:charset w:val="86"/>
    <w:family w:val="modern"/>
    <w:pitch w:val="default"/>
    <w:sig w:usb0="00000001" w:usb1="02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B70"/>
    <w:rsid w:val="00994DCF"/>
    <w:rsid w:val="00FB4B70"/>
    <w:rsid w:val="1DFE7B1D"/>
    <w:rsid w:val="1EBF71D0"/>
    <w:rsid w:val="1F3413D8"/>
    <w:rsid w:val="337F5B9B"/>
    <w:rsid w:val="355B2819"/>
    <w:rsid w:val="377F1DDE"/>
    <w:rsid w:val="3D6765B4"/>
    <w:rsid w:val="3EDF0F8F"/>
    <w:rsid w:val="3FB7CB67"/>
    <w:rsid w:val="41D53251"/>
    <w:rsid w:val="5CEBB3CD"/>
    <w:rsid w:val="5DEE26DC"/>
    <w:rsid w:val="5F6F77D6"/>
    <w:rsid w:val="68BB7C41"/>
    <w:rsid w:val="6E5A0FDD"/>
    <w:rsid w:val="6F15748A"/>
    <w:rsid w:val="6FDB3379"/>
    <w:rsid w:val="73565050"/>
    <w:rsid w:val="75FB098B"/>
    <w:rsid w:val="7B3DF6D1"/>
    <w:rsid w:val="7BEEBAAD"/>
    <w:rsid w:val="7C92381C"/>
    <w:rsid w:val="7E6F0896"/>
    <w:rsid w:val="7F758D5F"/>
    <w:rsid w:val="7FBD0F05"/>
    <w:rsid w:val="7FF7B7A8"/>
    <w:rsid w:val="7FFF2061"/>
    <w:rsid w:val="A95D588D"/>
    <w:rsid w:val="AA776183"/>
    <w:rsid w:val="BAFD413D"/>
    <w:rsid w:val="BD7F97CE"/>
    <w:rsid w:val="D7BD90CB"/>
    <w:rsid w:val="EF2F1813"/>
    <w:rsid w:val="EFFF144A"/>
    <w:rsid w:val="F32A1F91"/>
    <w:rsid w:val="FD7EDBEE"/>
    <w:rsid w:val="FEEF843F"/>
    <w:rsid w:val="FFB94E85"/>
    <w:rsid w:val="FFEE86FD"/>
    <w:rsid w:val="FFFC981A"/>
    <w:rsid w:val="FFFEBC8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99" w:semiHidden="0" w:name="Table Simple 1"/>
    <w:lsdException w:uiPriority="99" w:semiHidden="0" w:name="Table Simple 2"/>
    <w:lsdException w:uiPriority="99" w:semiHidden="0" w:name="Table Simple 3"/>
    <w:lsdException w:uiPriority="99" w:semiHidden="0" w:name="Table Classic 1"/>
    <w:lsdException w:uiPriority="99" w:semiHidden="0" w:name="Table Classic 2"/>
    <w:lsdException w:uiPriority="99" w:semiHidden="0" w:name="Table Classic 3"/>
    <w:lsdException w:uiPriority="99" w:semiHidden="0" w:name="Table Classic 4"/>
    <w:lsdException w:uiPriority="99" w:semiHidden="0" w:name="Table Colorful 1"/>
    <w:lsdException w:uiPriority="99" w:semiHidden="0" w:name="Table Colorful 2"/>
    <w:lsdException w:uiPriority="99" w:semiHidden="0" w:name="Table Colorful 3"/>
    <w:lsdException w:uiPriority="99" w:semiHidden="0" w:name="Table Columns 1"/>
    <w:lsdException w:uiPriority="99" w:semiHidden="0" w:name="Table Columns 2"/>
    <w:lsdException w:uiPriority="99" w:semiHidden="0" w:name="Table Columns 3"/>
    <w:lsdException w:uiPriority="99" w:semiHidden="0" w:name="Table Columns 4"/>
    <w:lsdException w:uiPriority="99" w:semiHidden="0" w:name="Table Columns 5"/>
    <w:lsdException w:uiPriority="99" w:semiHidden="0" w:name="Table Grid 1"/>
    <w:lsdException w:uiPriority="99" w:semiHidden="0" w:name="Table Grid 2"/>
    <w:lsdException w:uiPriority="99" w:semiHidden="0" w:name="Table Grid 3"/>
    <w:lsdException w:uiPriority="99" w:semiHidden="0" w:name="Table Grid 4"/>
    <w:lsdException w:uiPriority="99" w:semiHidden="0" w:name="Table Grid 5"/>
    <w:lsdException w:uiPriority="99" w:semiHidden="0" w:name="Table Grid 6"/>
    <w:lsdException w:uiPriority="99" w:semiHidden="0" w:name="Table Grid 7"/>
    <w:lsdException w:uiPriority="99" w:semiHidden="0" w:name="Table Grid 8"/>
    <w:lsdException w:uiPriority="99" w:semiHidden="0" w:name="Table List 1"/>
    <w:lsdException w:uiPriority="99" w:semiHidden="0" w:name="Table List 2"/>
    <w:lsdException w:uiPriority="99" w:semiHidden="0" w:name="Table List 3"/>
    <w:lsdException w:uiPriority="99" w:semiHidden="0" w:name="Table List 4"/>
    <w:lsdException w:uiPriority="99" w:semiHidden="0" w:name="Table List 5"/>
    <w:lsdException w:uiPriority="99" w:semiHidden="0" w:name="Table List 6"/>
    <w:lsdException w:uiPriority="99" w:semiHidden="0" w:name="Table List 7"/>
    <w:lsdException w:uiPriority="99" w:semiHidden="0" w:name="Table List 8"/>
    <w:lsdException w:uiPriority="99" w:semiHidden="0" w:name="Table 3D effects 1"/>
    <w:lsdException w:uiPriority="99" w:semiHidden="0" w:name="Table 3D effects 2"/>
    <w:lsdException w:uiPriority="99" w:semiHidden="0" w:name="Table 3D effects 3"/>
    <w:lsdException w:uiPriority="99" w:semiHidden="0" w:name="Table Contemporary"/>
    <w:lsdException w:uiPriority="99" w:semiHidden="0" w:name="Table Elegant"/>
    <w:lsdException w:uiPriority="99" w:semiHidden="0" w:name="Table Professional"/>
    <w:lsdException w:uiPriority="99" w:semiHidden="0" w:name="Table Subtle 1"/>
    <w:lsdException w:uiPriority="99" w:semiHidden="0" w:name="Table Subtle 2"/>
    <w:lsdException w:uiPriority="99" w:semiHidden="0" w:name="Table Web 1"/>
    <w:lsdException w:uiPriority="99" w:semiHidden="0" w:name="Table Web 2"/>
    <w:lsdException w:uiPriority="99" w:semiHidden="0" w:name="Table Web 3"/>
    <w:lsdException w:unhideWhenUsed="0" w:uiPriority="0" w:semiHidden="0" w:name="Balloon Text"/>
    <w:lsdException w:uiPriority="99" w:semiHidden="0" w:name="Table Grid"/>
    <w:lsdException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宋体" w:hAnsi="宋体" w:eastAsia="宋体" w:cs="宋体"/>
      <w:sz w:val="24"/>
      <w:szCs w:val="24"/>
      <w:lang w:val="en-US" w:eastAsia="zh-CN" w:bidi="ar-SA"/>
    </w:rPr>
  </w:style>
  <w:style w:type="paragraph" w:styleId="4">
    <w:name w:val="heading 1"/>
    <w:basedOn w:val="1"/>
    <w:next w:val="1"/>
    <w:link w:val="16"/>
    <w:qFormat/>
    <w:uiPriority w:val="0"/>
    <w:pPr>
      <w:spacing w:before="100" w:beforeAutospacing="1" w:after="100" w:afterAutospacing="1"/>
      <w:outlineLvl w:val="0"/>
    </w:pPr>
    <w:rPr>
      <w:b/>
      <w:bCs/>
      <w:kern w:val="44"/>
      <w:sz w:val="48"/>
      <w:szCs w:val="48"/>
    </w:rPr>
  </w:style>
  <w:style w:type="paragraph" w:styleId="5">
    <w:name w:val="heading 2"/>
    <w:basedOn w:val="1"/>
    <w:next w:val="1"/>
    <w:link w:val="17"/>
    <w:qFormat/>
    <w:uiPriority w:val="0"/>
    <w:pPr>
      <w:spacing w:before="100" w:beforeAutospacing="1" w:after="100" w:afterAutospacing="1"/>
      <w:outlineLvl w:val="1"/>
    </w:pPr>
    <w:rPr>
      <w:b/>
      <w:bCs/>
      <w:sz w:val="36"/>
      <w:szCs w:val="36"/>
    </w:rPr>
  </w:style>
  <w:style w:type="paragraph" w:styleId="6">
    <w:name w:val="heading 3"/>
    <w:basedOn w:val="1"/>
    <w:next w:val="1"/>
    <w:link w:val="18"/>
    <w:qFormat/>
    <w:uiPriority w:val="0"/>
    <w:pPr>
      <w:spacing w:before="100" w:beforeAutospacing="1" w:after="100" w:afterAutospacing="1"/>
      <w:outlineLvl w:val="2"/>
    </w:pPr>
    <w:rPr>
      <w:b/>
      <w:bCs/>
      <w:sz w:val="27"/>
      <w:szCs w:val="27"/>
    </w:rPr>
  </w:style>
  <w:style w:type="paragraph" w:styleId="7">
    <w:name w:val="heading 4"/>
    <w:basedOn w:val="1"/>
    <w:next w:val="1"/>
    <w:link w:val="19"/>
    <w:qFormat/>
    <w:uiPriority w:val="0"/>
    <w:pPr>
      <w:spacing w:before="100" w:beforeAutospacing="1" w:after="100" w:afterAutospacing="1"/>
      <w:outlineLvl w:val="3"/>
    </w:pPr>
    <w:rPr>
      <w:b/>
      <w:bCs/>
    </w:rPr>
  </w:style>
  <w:style w:type="paragraph" w:styleId="8">
    <w:name w:val="heading 5"/>
    <w:basedOn w:val="1"/>
    <w:next w:val="1"/>
    <w:link w:val="20"/>
    <w:qFormat/>
    <w:uiPriority w:val="0"/>
    <w:pPr>
      <w:spacing w:before="100" w:beforeAutospacing="1" w:after="100" w:afterAutospacing="1"/>
      <w:outlineLvl w:val="4"/>
    </w:pPr>
    <w:rPr>
      <w:b/>
      <w:bCs/>
      <w:sz w:val="20"/>
      <w:szCs w:val="20"/>
    </w:rPr>
  </w:style>
  <w:style w:type="paragraph" w:styleId="9">
    <w:name w:val="heading 6"/>
    <w:basedOn w:val="1"/>
    <w:next w:val="1"/>
    <w:link w:val="21"/>
    <w:qFormat/>
    <w:uiPriority w:val="0"/>
    <w:pPr>
      <w:spacing w:before="100" w:beforeAutospacing="1" w:after="100" w:afterAutospacing="1"/>
      <w:outlineLvl w:val="5"/>
    </w:pPr>
    <w:rPr>
      <w:b/>
      <w:bCs/>
      <w:sz w:val="15"/>
      <w:szCs w:val="15"/>
    </w:rPr>
  </w:style>
  <w:style w:type="character" w:default="1" w:styleId="15">
    <w:name w:val="Default Paragraph Font"/>
    <w:unhideWhenUsed/>
    <w:qFormat/>
    <w:uiPriority w:val="1"/>
  </w:style>
  <w:style w:type="table" w:default="1" w:styleId="14">
    <w:name w:val="Normal Table"/>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spacing w:before="0" w:beforeAutospacing="0" w:after="0" w:afterAutospacing="0" w:line="500" w:lineRule="exact"/>
      <w:ind w:left="0" w:right="0" w:firstLine="420"/>
      <w:jc w:val="center"/>
    </w:pPr>
    <w:rPr>
      <w:rFonts w:hint="eastAsia" w:ascii="宋体" w:hAnsi="宋体" w:eastAsia="宋体" w:cs="宋体"/>
      <w:kern w:val="0"/>
      <w:sz w:val="28"/>
      <w:szCs w:val="28"/>
      <w:lang w:val="en-US" w:eastAsia="zh-CN" w:bidi="ar"/>
    </w:rPr>
  </w:style>
  <w:style w:type="paragraph" w:styleId="3">
    <w:name w:val="Body Text"/>
    <w:basedOn w:val="1"/>
    <w:next w:val="2"/>
    <w:qFormat/>
    <w:uiPriority w:val="0"/>
    <w:pPr>
      <w:spacing w:before="0" w:beforeAutospacing="0" w:after="0" w:afterAutospacing="0"/>
      <w:ind w:left="0" w:right="0"/>
      <w:jc w:val="center"/>
    </w:pPr>
    <w:rPr>
      <w:rFonts w:hint="eastAsia" w:ascii="宋体" w:hAnsi="宋体" w:eastAsia="宋体" w:cs="宋体"/>
      <w:kern w:val="0"/>
      <w:sz w:val="44"/>
      <w:szCs w:val="44"/>
      <w:lang w:val="en-US" w:eastAsia="zh-CN" w:bidi="ar"/>
    </w:rPr>
  </w:style>
  <w:style w:type="paragraph" w:styleId="10">
    <w:name w:val="footer"/>
    <w:basedOn w:val="1"/>
    <w:link w:val="22"/>
    <w:qFormat/>
    <w:uiPriority w:val="0"/>
    <w:pPr>
      <w:tabs>
        <w:tab w:val="center" w:pos="4153"/>
        <w:tab w:val="right" w:pos="8306"/>
      </w:tabs>
      <w:snapToGrid w:val="0"/>
    </w:pPr>
    <w:rPr>
      <w:sz w:val="18"/>
      <w:szCs w:val="18"/>
    </w:rPr>
  </w:style>
  <w:style w:type="paragraph" w:styleId="11">
    <w:name w:val="header"/>
    <w:basedOn w:val="1"/>
    <w:link w:val="23"/>
    <w:qFormat/>
    <w:uiPriority w:val="0"/>
    <w:pPr>
      <w:pBdr>
        <w:bottom w:val="single" w:color="auto" w:sz="6" w:space="1"/>
      </w:pBdr>
      <w:tabs>
        <w:tab w:val="center" w:pos="4153"/>
        <w:tab w:val="right" w:pos="8306"/>
      </w:tabs>
      <w:snapToGrid w:val="0"/>
      <w:jc w:val="center"/>
    </w:pPr>
    <w:rPr>
      <w:sz w:val="18"/>
      <w:szCs w:val="18"/>
    </w:rPr>
  </w:style>
  <w:style w:type="paragraph" w:styleId="12">
    <w:name w:val="HTML Preformatted"/>
    <w:basedOn w:val="1"/>
    <w:link w:val="24"/>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paragraph" w:styleId="13">
    <w:name w:val="Normal (Web)"/>
    <w:basedOn w:val="1"/>
    <w:qFormat/>
    <w:uiPriority w:val="0"/>
    <w:pPr>
      <w:spacing w:before="100" w:beforeAutospacing="1" w:after="100" w:afterAutospacing="1"/>
    </w:pPr>
  </w:style>
  <w:style w:type="character" w:customStyle="1" w:styleId="16">
    <w:name w:val="标题 1 Char"/>
    <w:basedOn w:val="15"/>
    <w:link w:val="4"/>
    <w:qFormat/>
    <w:locked/>
    <w:uiPriority w:val="0"/>
    <w:rPr>
      <w:rFonts w:hint="eastAsia" w:ascii="宋体" w:hAnsi="宋体" w:eastAsia="宋体" w:cs="宋体"/>
      <w:b/>
      <w:bCs/>
      <w:kern w:val="44"/>
      <w:sz w:val="44"/>
      <w:szCs w:val="44"/>
    </w:rPr>
  </w:style>
  <w:style w:type="character" w:customStyle="1" w:styleId="17">
    <w:name w:val="标题 2 Char"/>
    <w:basedOn w:val="15"/>
    <w:link w:val="5"/>
    <w:qFormat/>
    <w:locked/>
    <w:uiPriority w:val="0"/>
    <w:rPr>
      <w:rFonts w:hint="default" w:ascii="Cambria" w:hAnsi="Cambria" w:eastAsia="宋体" w:cs="Times New Roman"/>
      <w:b/>
      <w:bCs/>
      <w:sz w:val="32"/>
      <w:szCs w:val="32"/>
    </w:rPr>
  </w:style>
  <w:style w:type="character" w:customStyle="1" w:styleId="18">
    <w:name w:val="标题 3 Char"/>
    <w:basedOn w:val="15"/>
    <w:link w:val="6"/>
    <w:qFormat/>
    <w:locked/>
    <w:uiPriority w:val="0"/>
    <w:rPr>
      <w:rFonts w:hint="eastAsia" w:ascii="宋体" w:hAnsi="宋体" w:eastAsia="宋体" w:cs="宋体"/>
      <w:b/>
      <w:bCs/>
      <w:sz w:val="32"/>
      <w:szCs w:val="32"/>
    </w:rPr>
  </w:style>
  <w:style w:type="character" w:customStyle="1" w:styleId="19">
    <w:name w:val="标题 4 Char"/>
    <w:basedOn w:val="15"/>
    <w:link w:val="7"/>
    <w:qFormat/>
    <w:locked/>
    <w:uiPriority w:val="0"/>
    <w:rPr>
      <w:rFonts w:hint="default" w:ascii="Cambria" w:hAnsi="Cambria" w:eastAsia="宋体" w:cs="Times New Roman"/>
      <w:b/>
      <w:bCs/>
      <w:sz w:val="28"/>
      <w:szCs w:val="28"/>
    </w:rPr>
  </w:style>
  <w:style w:type="character" w:customStyle="1" w:styleId="20">
    <w:name w:val="标题 5 Char"/>
    <w:basedOn w:val="15"/>
    <w:link w:val="8"/>
    <w:qFormat/>
    <w:locked/>
    <w:uiPriority w:val="0"/>
    <w:rPr>
      <w:rFonts w:hint="eastAsia" w:ascii="宋体" w:hAnsi="宋体" w:eastAsia="宋体" w:cs="宋体"/>
      <w:b/>
      <w:bCs/>
      <w:sz w:val="28"/>
      <w:szCs w:val="28"/>
    </w:rPr>
  </w:style>
  <w:style w:type="character" w:customStyle="1" w:styleId="21">
    <w:name w:val="标题 6 Char"/>
    <w:basedOn w:val="15"/>
    <w:link w:val="9"/>
    <w:qFormat/>
    <w:locked/>
    <w:uiPriority w:val="0"/>
    <w:rPr>
      <w:rFonts w:hint="default" w:ascii="Cambria" w:hAnsi="Cambria" w:eastAsia="宋体" w:cs="Times New Roman"/>
      <w:b/>
      <w:bCs/>
      <w:sz w:val="24"/>
      <w:szCs w:val="24"/>
    </w:rPr>
  </w:style>
  <w:style w:type="character" w:customStyle="1" w:styleId="22">
    <w:name w:val="页脚 Char"/>
    <w:basedOn w:val="15"/>
    <w:link w:val="10"/>
    <w:qFormat/>
    <w:locked/>
    <w:uiPriority w:val="0"/>
    <w:rPr>
      <w:rFonts w:hint="eastAsia" w:ascii="宋体" w:hAnsi="宋体" w:eastAsia="宋体" w:cs="宋体"/>
      <w:sz w:val="18"/>
      <w:szCs w:val="18"/>
    </w:rPr>
  </w:style>
  <w:style w:type="character" w:customStyle="1" w:styleId="23">
    <w:name w:val="页眉 Char"/>
    <w:basedOn w:val="15"/>
    <w:link w:val="11"/>
    <w:qFormat/>
    <w:locked/>
    <w:uiPriority w:val="0"/>
    <w:rPr>
      <w:rFonts w:hint="eastAsia" w:ascii="宋体" w:hAnsi="宋体" w:eastAsia="宋体" w:cs="宋体"/>
      <w:sz w:val="18"/>
      <w:szCs w:val="18"/>
    </w:rPr>
  </w:style>
  <w:style w:type="character" w:customStyle="1" w:styleId="24">
    <w:name w:val="HTML 预设格式 Char"/>
    <w:basedOn w:val="15"/>
    <w:link w:val="12"/>
    <w:qFormat/>
    <w:locked/>
    <w:uiPriority w:val="0"/>
    <w:rPr>
      <w:rFonts w:hint="default" w:ascii="Courier New" w:hAnsi="Courier New" w:eastAsia="宋体" w:cs="Courier New"/>
    </w:rPr>
  </w:style>
  <w:style w:type="character" w:customStyle="1" w:styleId="25">
    <w:name w:val="10"/>
    <w:basedOn w:val="15"/>
    <w:qFormat/>
    <w:uiPriority w:val="0"/>
    <w:rPr>
      <w:rFonts w:hint="default" w:ascii="Times New Roman" w:hAnsi="Times New Roman" w:cs="Times New Roman"/>
    </w:rPr>
  </w:style>
  <w:style w:type="character" w:customStyle="1" w:styleId="26">
    <w:name w:val="15"/>
    <w:basedOn w:val="15"/>
    <w:qFormat/>
    <w:uiPriority w:val="0"/>
    <w:rPr>
      <w:rFonts w:hint="default" w:ascii="Wingdings" w:hAnsi="Wingdings"/>
    </w:rPr>
  </w:style>
  <w:style w:type="character" w:customStyle="1" w:styleId="27">
    <w:name w:val="16"/>
    <w:basedOn w:val="15"/>
    <w:qFormat/>
    <w:uiPriority w:val="0"/>
    <w:rPr>
      <w:rFonts w:hint="default" w:ascii="Wingdings" w:hAnsi="Wingdings"/>
      <w:b/>
      <w:bCs/>
    </w:rPr>
  </w:style>
  <w:style w:type="character" w:customStyle="1" w:styleId="28">
    <w:name w:val="17"/>
    <w:basedOn w:val="15"/>
    <w:qFormat/>
    <w:uiPriority w:val="0"/>
    <w:rPr>
      <w:rFonts w:hint="default" w:ascii="Times New Roman" w:hAnsi="Times New Roman"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17</Pages>
  <Words>1357</Words>
  <Characters>7738</Characters>
  <Lines>64</Lines>
  <Paragraphs>18</Paragraphs>
  <TotalTime>3</TotalTime>
  <ScaleCrop>false</ScaleCrop>
  <LinksUpToDate>false</LinksUpToDate>
  <CharactersWithSpaces>9077</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2021-09-11T09:08:00Z</dcterms:created>
  <dc:creator>greatwall</dc:creator>
  <cp:lastModifiedBy>罗翰骑士</cp:lastModifiedBy>
  <cp:lastPrinted>2021-09-11T07:33:00Z</cp:lastPrinted>
  <dcterms:modified xsi:type="dcterms:W3CDTF">2021-10-12T08:01:21Z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F6A21F04C41D45F88FAE43929DD7C694</vt:lpwstr>
  </property>
</Properties>
</file>