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EE" w:rsidRDefault="00923169" w:rsidP="00D35CEE">
      <w:r>
        <w:rPr>
          <w:rFonts w:hint="eastAsia"/>
        </w:rPr>
        <w:t>附件</w:t>
      </w:r>
      <w:r>
        <w:rPr>
          <w:rFonts w:hint="eastAsia"/>
        </w:rPr>
        <w:t>1</w:t>
      </w:r>
    </w:p>
    <w:p w:rsidR="00D35CEE" w:rsidRPr="00F42DF2" w:rsidRDefault="00D35CEE" w:rsidP="00D35CEE"/>
    <w:p w:rsidR="00D35CEE" w:rsidRPr="00F42DF2" w:rsidRDefault="00BA2C8B" w:rsidP="00D35CE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5.25pt;width:396pt;height:57.85pt;z-index:251660288" fillcolor="red" strokecolor="red">
            <v:fill color2="#f93"/>
            <v:shadow on="t" color="silver" opacity="52429f"/>
            <v:textpath style="font-family:&quot;宋体&quot;;v-text-kern:t" trim="t" fitpath="t" string="温州市龙湾区财政局文件"/>
            <w10:wrap type="square"/>
          </v:shape>
        </w:pict>
      </w:r>
    </w:p>
    <w:p w:rsidR="00D35CEE" w:rsidRPr="00F42DF2" w:rsidRDefault="00D35CEE" w:rsidP="00D35CEE"/>
    <w:p w:rsidR="00D35CEE" w:rsidRPr="00F42DF2" w:rsidRDefault="00D35CEE" w:rsidP="00D35CEE">
      <w:pPr>
        <w:rPr>
          <w:rFonts w:hint="eastAsia"/>
        </w:rPr>
      </w:pPr>
    </w:p>
    <w:p w:rsidR="00D35CEE" w:rsidRDefault="00D35CEE" w:rsidP="00BA2C8B">
      <w:pPr>
        <w:rPr>
          <w:rFonts w:hint="eastAsia"/>
        </w:rPr>
      </w:pPr>
    </w:p>
    <w:p w:rsidR="00D35CEE" w:rsidRDefault="0039214B" w:rsidP="00D35CEE">
      <w:pPr>
        <w:ind w:firstLineChars="50" w:firstLine="160"/>
        <w:jc w:val="center"/>
      </w:pPr>
      <w:r>
        <w:rPr>
          <w:rFonts w:ascii="仿宋_GB2312" w:eastAsia="仿宋_GB2312" w:hAnsi="宋体" w:hint="eastAsia"/>
          <w:sz w:val="32"/>
          <w:szCs w:val="32"/>
        </w:rPr>
        <w:t>温龙财发</w:t>
      </w:r>
      <w:r>
        <w:rPr>
          <w:rFonts w:ascii="仿宋_GB2312" w:eastAsia="仿宋_GB2312" w:hint="eastAsia"/>
          <w:sz w:val="32"/>
          <w:szCs w:val="32"/>
        </w:rPr>
        <w:t>〔</w:t>
      </w:r>
      <w:r>
        <w:rPr>
          <w:rFonts w:ascii="仿宋_GB2312" w:eastAsia="仿宋_GB2312"/>
          <w:sz w:val="32"/>
          <w:szCs w:val="32"/>
        </w:rPr>
        <w:t>2017</w:t>
      </w:r>
      <w:r>
        <w:rPr>
          <w:rFonts w:ascii="仿宋_GB2312" w:eastAsia="仿宋_GB2312" w:hint="eastAsia"/>
          <w:sz w:val="32"/>
          <w:szCs w:val="32"/>
        </w:rPr>
        <w:t>〕98号</w:t>
      </w:r>
    </w:p>
    <w:p w:rsidR="00D35CEE" w:rsidRPr="00F42DF2" w:rsidRDefault="004E4B39" w:rsidP="00D35CEE">
      <w:pPr>
        <w:tabs>
          <w:tab w:val="left" w:pos="2385"/>
        </w:tabs>
      </w:pPr>
      <w:r>
        <w:rPr>
          <w:noProof/>
        </w:rPr>
        <w:pict>
          <v:line id="_x0000_s1027" style="position:absolute;left:0;text-align:left;z-index:251661312" from="-9pt,10.5pt" to="414pt,10.5pt" strokecolor="red" strokeweight="3pt"/>
        </w:pict>
      </w:r>
    </w:p>
    <w:p w:rsidR="00D35CEE" w:rsidRPr="00F42DF2" w:rsidRDefault="00D35CEE" w:rsidP="00D35CEE"/>
    <w:p w:rsidR="0039214B" w:rsidRPr="00435654" w:rsidRDefault="0039214B" w:rsidP="0039214B">
      <w:pPr>
        <w:spacing w:line="560" w:lineRule="exact"/>
        <w:jc w:val="center"/>
        <w:rPr>
          <w:rFonts w:ascii="创艺简标宋" w:eastAsia="创艺简标宋" w:hAnsi="黑体"/>
          <w:spacing w:val="-8"/>
          <w:sz w:val="44"/>
          <w:szCs w:val="44"/>
        </w:rPr>
      </w:pPr>
      <w:bookmarkStart w:id="0" w:name="hallSendFileTitle"/>
      <w:bookmarkStart w:id="1" w:name="zsbm"/>
      <w:r w:rsidRPr="00435654">
        <w:rPr>
          <w:rFonts w:ascii="创艺简标宋" w:eastAsia="创艺简标宋" w:hAnsi="黑体" w:hint="eastAsia"/>
          <w:spacing w:val="-8"/>
          <w:sz w:val="44"/>
          <w:szCs w:val="44"/>
        </w:rPr>
        <w:t>关于做好2018年度区级行政事业</w:t>
      </w:r>
    </w:p>
    <w:p w:rsidR="00D35CEE" w:rsidRDefault="0039214B" w:rsidP="0039214B">
      <w:pPr>
        <w:jc w:val="center"/>
        <w:rPr>
          <w:rFonts w:ascii="仿宋_GB2312" w:eastAsia="仿宋_GB2312"/>
          <w:sz w:val="32"/>
          <w:szCs w:val="32"/>
        </w:rPr>
      </w:pPr>
      <w:r w:rsidRPr="00435654">
        <w:rPr>
          <w:rFonts w:ascii="创艺简标宋" w:eastAsia="创艺简标宋" w:hAnsi="黑体" w:hint="eastAsia"/>
          <w:spacing w:val="-8"/>
          <w:sz w:val="44"/>
          <w:szCs w:val="44"/>
        </w:rPr>
        <w:t>单位资产配置计划编制工作的通知</w:t>
      </w:r>
      <w:bookmarkEnd w:id="0"/>
    </w:p>
    <w:p w:rsidR="0039214B" w:rsidRDefault="0039214B" w:rsidP="0039214B">
      <w:pPr>
        <w:tabs>
          <w:tab w:val="center" w:pos="3419"/>
        </w:tabs>
        <w:spacing w:line="540" w:lineRule="exact"/>
        <w:jc w:val="left"/>
        <w:rPr>
          <w:rFonts w:ascii="仿宋_GB2312" w:eastAsia="仿宋_GB2312" w:hAnsi="仿宋"/>
          <w:sz w:val="32"/>
          <w:szCs w:val="32"/>
        </w:rPr>
      </w:pPr>
    </w:p>
    <w:p w:rsidR="0039214B" w:rsidRDefault="0039214B" w:rsidP="0039214B">
      <w:pPr>
        <w:tabs>
          <w:tab w:val="center" w:pos="3419"/>
        </w:tabs>
        <w:spacing w:line="540" w:lineRule="exact"/>
        <w:jc w:val="left"/>
        <w:rPr>
          <w:rFonts w:ascii="仿宋_GB2312" w:eastAsia="仿宋_GB2312" w:hAnsi="仿宋"/>
          <w:sz w:val="32"/>
          <w:szCs w:val="32"/>
        </w:rPr>
      </w:pPr>
    </w:p>
    <w:p w:rsidR="0039214B" w:rsidRPr="00B16571" w:rsidRDefault="0039214B" w:rsidP="0039214B">
      <w:pPr>
        <w:tabs>
          <w:tab w:val="center" w:pos="3419"/>
        </w:tabs>
        <w:spacing w:line="540" w:lineRule="exact"/>
        <w:jc w:val="left"/>
        <w:rPr>
          <w:rFonts w:ascii="仿宋_GB2312" w:eastAsia="仿宋_GB2312" w:hAnsi="仿宋"/>
          <w:sz w:val="32"/>
          <w:szCs w:val="32"/>
        </w:rPr>
      </w:pPr>
      <w:r w:rsidRPr="00B16571">
        <w:rPr>
          <w:rFonts w:ascii="仿宋_GB2312" w:eastAsia="仿宋_GB2312" w:hAnsi="仿宋" w:hint="eastAsia"/>
          <w:sz w:val="32"/>
          <w:szCs w:val="32"/>
        </w:rPr>
        <w:t>各街道办事处、区属各行政事业单位：</w:t>
      </w:r>
    </w:p>
    <w:p w:rsidR="0039214B"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spacing w:val="-8"/>
          <w:sz w:val="32"/>
          <w:szCs w:val="32"/>
        </w:rPr>
        <w:t>为进一步提高预算编制的精细化水平，深入推进资产管理与预算管理有机结合，实现资产的科学、合理配置，</w:t>
      </w:r>
      <w:r w:rsidRPr="00B16571">
        <w:rPr>
          <w:rFonts w:ascii="仿宋_GB2312" w:eastAsia="仿宋_GB2312" w:hAnsi="仿宋" w:hint="eastAsia"/>
          <w:color w:val="000000"/>
          <w:spacing w:val="-8"/>
          <w:kern w:val="0"/>
          <w:sz w:val="32"/>
          <w:szCs w:val="32"/>
        </w:rPr>
        <w:t>根据《龙湾区（高新区）行政事业单位国有资产管理暂行办法》（温龙政办发〔2013〕192号）、《龙湾区行政事业单位国有资产配置管理暂行办法》、《</w:t>
      </w:r>
      <w:r w:rsidRPr="00B16571">
        <w:rPr>
          <w:rFonts w:ascii="仿宋_GB2312" w:eastAsia="仿宋_GB2312" w:hAnsi="仿宋" w:hint="eastAsia"/>
          <w:bCs/>
          <w:color w:val="000000"/>
          <w:spacing w:val="-8"/>
          <w:kern w:val="0"/>
          <w:sz w:val="32"/>
          <w:szCs w:val="32"/>
        </w:rPr>
        <w:t>龙湾区行政事业单位办公用房装修、通用办公设备配置限额标准</w:t>
      </w:r>
      <w:r w:rsidRPr="00B16571">
        <w:rPr>
          <w:rFonts w:ascii="仿宋_GB2312" w:eastAsia="仿宋_GB2312" w:hAnsi="仿宋" w:hint="eastAsia"/>
          <w:color w:val="000000"/>
          <w:spacing w:val="-8"/>
          <w:kern w:val="0"/>
          <w:sz w:val="32"/>
          <w:szCs w:val="32"/>
        </w:rPr>
        <w:t>》（温龙财发〔2016〕120号）、《温州市教育局直属学校（单位）装修、设备配置限额标准（试行）》（温财资〔2013〕414号）等规定，现就做好2018年度资产配置计划编制工作通知如下：</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bookmarkStart w:id="2" w:name="_GoBack"/>
      <w:bookmarkEnd w:id="2"/>
    </w:p>
    <w:p w:rsidR="0039214B" w:rsidRPr="00B16571" w:rsidRDefault="0039214B" w:rsidP="0039214B">
      <w:pPr>
        <w:spacing w:line="540" w:lineRule="exact"/>
        <w:ind w:firstLineChars="200" w:firstLine="608"/>
        <w:rPr>
          <w:rFonts w:ascii="黑体" w:eastAsia="黑体" w:hAnsi="黑体"/>
          <w:color w:val="000000"/>
          <w:spacing w:val="-8"/>
          <w:kern w:val="0"/>
          <w:sz w:val="32"/>
          <w:szCs w:val="32"/>
        </w:rPr>
      </w:pPr>
      <w:r w:rsidRPr="00B16571">
        <w:rPr>
          <w:rFonts w:ascii="黑体" w:eastAsia="黑体" w:hAnsi="黑体" w:hint="eastAsia"/>
          <w:color w:val="000000"/>
          <w:spacing w:val="-8"/>
          <w:kern w:val="0"/>
          <w:sz w:val="32"/>
          <w:szCs w:val="32"/>
        </w:rPr>
        <w:t>一、编制原则、范围和标准</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（一）编制原则</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lastRenderedPageBreak/>
        <w:t>行政事业单位应当遵循依法合规、保障需要、科学合理、优化结构、预算约束的原则，以单位履行职能和促进事业发展需要为基础，以资产功能与单位职能相匹配为基本条件，编制2018年度资产配置计划，厉行勤俭节约，严格控制配置标准。对要求配置的资产，能通过调剂、租赁解决的，原则上不得购置。</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（二）编制范围和标准</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纳入区级部门预算管理的行政事业单位，其办公用房装修，办公家具、通用办公设备、办公通用软件等的购置，均需编制2018年度资产配置计划。具体资产范围和配置标准按温龙财发〔2016〕120号</w:t>
      </w:r>
      <w:r>
        <w:rPr>
          <w:rFonts w:ascii="仿宋_GB2312" w:eastAsia="仿宋_GB2312" w:hAnsi="仿宋" w:hint="eastAsia"/>
          <w:color w:val="000000"/>
          <w:spacing w:val="-8"/>
          <w:kern w:val="0"/>
          <w:sz w:val="32"/>
          <w:szCs w:val="32"/>
        </w:rPr>
        <w:t>文件</w:t>
      </w:r>
      <w:r w:rsidRPr="00B16571">
        <w:rPr>
          <w:rFonts w:ascii="仿宋_GB2312" w:eastAsia="仿宋_GB2312" w:hAnsi="仿宋" w:hint="eastAsia"/>
          <w:color w:val="000000"/>
          <w:spacing w:val="-8"/>
          <w:kern w:val="0"/>
          <w:sz w:val="32"/>
          <w:szCs w:val="32"/>
        </w:rPr>
        <w:t>规定执行（区教育局直属学校及单位按温财资〔2013〕414号</w:t>
      </w:r>
      <w:r>
        <w:rPr>
          <w:rFonts w:ascii="仿宋_GB2312" w:eastAsia="仿宋_GB2312" w:hAnsi="仿宋" w:hint="eastAsia"/>
          <w:color w:val="000000"/>
          <w:spacing w:val="-8"/>
          <w:kern w:val="0"/>
          <w:sz w:val="32"/>
          <w:szCs w:val="32"/>
        </w:rPr>
        <w:t>文件</w:t>
      </w:r>
      <w:r w:rsidRPr="00B16571">
        <w:rPr>
          <w:rFonts w:ascii="仿宋_GB2312" w:eastAsia="仿宋_GB2312" w:hAnsi="仿宋" w:hint="eastAsia"/>
          <w:color w:val="000000"/>
          <w:spacing w:val="-8"/>
          <w:kern w:val="0"/>
          <w:sz w:val="32"/>
          <w:szCs w:val="32"/>
        </w:rPr>
        <w:t>规定执行）。</w:t>
      </w:r>
    </w:p>
    <w:p w:rsidR="0039214B" w:rsidRPr="00B16571" w:rsidRDefault="0039214B" w:rsidP="0039214B">
      <w:pPr>
        <w:spacing w:line="540" w:lineRule="exact"/>
        <w:ind w:firstLineChars="200" w:firstLine="608"/>
        <w:rPr>
          <w:rFonts w:ascii="黑体" w:eastAsia="黑体" w:hAnsi="黑体"/>
          <w:spacing w:val="-8"/>
          <w:sz w:val="32"/>
          <w:szCs w:val="32"/>
        </w:rPr>
      </w:pPr>
      <w:r w:rsidRPr="00B16571">
        <w:rPr>
          <w:rFonts w:ascii="黑体" w:eastAsia="黑体" w:hAnsi="黑体" w:hint="eastAsia"/>
          <w:spacing w:val="-8"/>
          <w:sz w:val="32"/>
          <w:szCs w:val="32"/>
        </w:rPr>
        <w:t>二、编制工作程序</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（一）单位申报</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各单位应在编制2018</w:t>
      </w:r>
      <w:r>
        <w:rPr>
          <w:rFonts w:ascii="仿宋_GB2312" w:eastAsia="仿宋_GB2312" w:hAnsi="仿宋" w:hint="eastAsia"/>
          <w:color w:val="000000"/>
          <w:spacing w:val="-8"/>
          <w:kern w:val="0"/>
          <w:sz w:val="32"/>
          <w:szCs w:val="32"/>
        </w:rPr>
        <w:t>年度部门预算</w:t>
      </w:r>
      <w:r w:rsidRPr="00B16571">
        <w:rPr>
          <w:rFonts w:ascii="仿宋_GB2312" w:eastAsia="仿宋_GB2312" w:hAnsi="仿宋" w:hint="eastAsia"/>
          <w:color w:val="000000"/>
          <w:spacing w:val="-8"/>
          <w:kern w:val="0"/>
          <w:sz w:val="32"/>
          <w:szCs w:val="32"/>
        </w:rPr>
        <w:t>前，根据现有资产存量、使用状况、资产配置标准和工作需要，测算经费额度，通过“龙湾区行政事业资产管理信息系统”（以下简称资产系统），编制2018年度资产配置计划。具体步骤如下：</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1.资产月结账。各单位应首先做好资产与财务对账工作，并在资产与财务账账相符的基础上，进行资产月结账，确保系统业务日期为当月（至少不早于上个月）。系统业务日期可在资产系统“基础数据-系统选项”中查看。</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2.单位基础信息维护。各单位应更新完善单位基础信息（操作路径：基础数据-单位基础信息），点击修改，据实录入各项内容并保存后，下载并打印单位基础信息表（操作路径：我的</w:t>
      </w:r>
      <w:r w:rsidRPr="00B16571">
        <w:rPr>
          <w:rFonts w:ascii="仿宋_GB2312" w:eastAsia="仿宋_GB2312" w:hAnsi="仿宋" w:hint="eastAsia"/>
          <w:color w:val="000000"/>
          <w:spacing w:val="-8"/>
          <w:kern w:val="0"/>
          <w:sz w:val="32"/>
          <w:szCs w:val="32"/>
        </w:rPr>
        <w:lastRenderedPageBreak/>
        <w:t xml:space="preserve">首页-下载区下载 </w:t>
      </w:r>
      <w:r w:rsidRPr="00B16571">
        <w:rPr>
          <w:rFonts w:ascii="微软雅黑" w:eastAsia="微软雅黑" w:hAnsi="微软雅黑" w:cs="微软雅黑" w:hint="eastAsia"/>
          <w:color w:val="000000"/>
          <w:spacing w:val="-8"/>
          <w:kern w:val="0"/>
          <w:sz w:val="32"/>
          <w:szCs w:val="32"/>
        </w:rPr>
        <w:t>–</w:t>
      </w:r>
      <w:r w:rsidRPr="00B16571">
        <w:rPr>
          <w:rFonts w:ascii="仿宋_GB2312" w:eastAsia="仿宋_GB2312" w:hAnsi="仿宋" w:hint="eastAsia"/>
          <w:color w:val="000000"/>
          <w:spacing w:val="-8"/>
          <w:kern w:val="0"/>
          <w:sz w:val="32"/>
          <w:szCs w:val="32"/>
        </w:rPr>
        <w:t>填写单位基础信息并打印）。</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3.固定资产类别核对修改。各单位应根据《固定资产分类与代码》（</w:t>
      </w:r>
      <w:r w:rsidRPr="00B16571">
        <w:rPr>
          <w:rFonts w:ascii="仿宋_GB2312" w:eastAsia="仿宋_GB2312" w:hAnsi="仿宋" w:hint="eastAsia"/>
          <w:spacing w:val="-8"/>
          <w:kern w:val="0"/>
          <w:sz w:val="32"/>
          <w:szCs w:val="32"/>
        </w:rPr>
        <w:t>GB/T14885-2010</w:t>
      </w:r>
      <w:r w:rsidRPr="00B16571">
        <w:rPr>
          <w:rFonts w:ascii="仿宋_GB2312" w:eastAsia="仿宋_GB2312" w:hAnsi="仿宋" w:hint="eastAsia"/>
          <w:color w:val="000000"/>
          <w:spacing w:val="-8"/>
          <w:kern w:val="0"/>
          <w:sz w:val="32"/>
          <w:szCs w:val="32"/>
        </w:rPr>
        <w:t>），核对、修改资产系统中的资产类别，确保资产系统资产存量数据准确无误。修改资产类别的路径为：资产使用-卡片变更管理-资产专项变更登记单。</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4.资产配置计划申报。各单位录入配置计划并保存后，打印《龙湾区行政事业单位2018年度资产配置计划审批表》（以下简称配置计划审批表），经单位负责人签字并加盖公章后，连同规定材料报主管部门审核（资产系统中同步送审，无主管部门的，直接报区财政局）。操作路径为：资产配置-资产配置申请-资产配置计划申请（其他行政事业单位）〔区教育局直属学校及单位为：资产配置-资产配置申请-资产配置申请（区教育局直属学校、单位）〕。</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（二）主管部门审核</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主管部门根据单位资产存量状况和资产配置标准，对部门本级及下属单位的配置计划进行审核、汇总。对于部门内部预算管理方式相同的单位之间的资产，可根据工作需要合理调剂或共享共用，无法调剂确需购置的，主管部门应签署审核意见并加盖公章后，报区财政局审批（资产系统中应同步送审）。</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（三）财政部门审批</w:t>
      </w:r>
    </w:p>
    <w:p w:rsidR="0039214B" w:rsidRPr="00B16571" w:rsidRDefault="0039214B" w:rsidP="0039214B">
      <w:pPr>
        <w:spacing w:line="540" w:lineRule="exact"/>
        <w:ind w:firstLineChars="200" w:firstLine="608"/>
        <w:rPr>
          <w:rFonts w:ascii="仿宋_GB2312" w:eastAsia="仿宋_GB2312" w:hAnsi="仿宋"/>
          <w:spacing w:val="-8"/>
          <w:sz w:val="32"/>
          <w:szCs w:val="32"/>
        </w:rPr>
      </w:pPr>
      <w:r w:rsidRPr="00B16571">
        <w:rPr>
          <w:rFonts w:ascii="仿宋_GB2312" w:eastAsia="仿宋_GB2312" w:hAnsi="仿宋" w:hint="eastAsia"/>
          <w:color w:val="000000"/>
          <w:spacing w:val="-8"/>
          <w:kern w:val="0"/>
          <w:sz w:val="32"/>
          <w:szCs w:val="32"/>
        </w:rPr>
        <w:t>区财政局资产管理部门按照“以存量确定增量”的原则，</w:t>
      </w:r>
      <w:r w:rsidRPr="00B16571">
        <w:rPr>
          <w:rFonts w:ascii="仿宋_GB2312" w:eastAsia="仿宋_GB2312" w:hAnsi="仿宋" w:hint="eastAsia"/>
          <w:spacing w:val="-8"/>
          <w:sz w:val="32"/>
          <w:szCs w:val="32"/>
        </w:rPr>
        <w:t>根据资产配置标准，结合同类资产存量及使用状况等，对单位申报的资产配置计划进行审核批复。</w:t>
      </w:r>
      <w:r w:rsidRPr="00B16571">
        <w:rPr>
          <w:rFonts w:ascii="仿宋_GB2312" w:eastAsia="仿宋_GB2312" w:hAnsi="仿宋" w:hint="eastAsia"/>
          <w:color w:val="000000"/>
          <w:spacing w:val="-8"/>
          <w:kern w:val="0"/>
          <w:sz w:val="32"/>
          <w:szCs w:val="32"/>
        </w:rPr>
        <w:t>各单位应将</w:t>
      </w:r>
      <w:r w:rsidRPr="00B16571">
        <w:rPr>
          <w:rFonts w:ascii="仿宋_GB2312" w:eastAsia="仿宋_GB2312" w:hAnsi="仿宋" w:hint="eastAsia"/>
          <w:spacing w:val="-8"/>
          <w:sz w:val="32"/>
          <w:szCs w:val="32"/>
        </w:rPr>
        <w:t>经批准的资产配置计划</w:t>
      </w:r>
      <w:r w:rsidRPr="00B16571">
        <w:rPr>
          <w:rFonts w:ascii="仿宋_GB2312" w:eastAsia="仿宋_GB2312" w:hAnsi="仿宋" w:hint="eastAsia"/>
          <w:color w:val="000000"/>
          <w:spacing w:val="-8"/>
          <w:kern w:val="0"/>
          <w:sz w:val="32"/>
          <w:szCs w:val="32"/>
        </w:rPr>
        <w:t>列入2018年度部门预算，并在</w:t>
      </w:r>
      <w:r w:rsidRPr="00B16571">
        <w:rPr>
          <w:rFonts w:ascii="仿宋_GB2312" w:eastAsia="仿宋_GB2312" w:hAnsi="仿宋" w:hint="eastAsia"/>
          <w:spacing w:val="-8"/>
          <w:sz w:val="32"/>
          <w:szCs w:val="32"/>
        </w:rPr>
        <w:t>上报2018年度部门预算时附送资产配置计划批复文件等资料。</w:t>
      </w:r>
      <w:r w:rsidRPr="00B16571">
        <w:rPr>
          <w:rFonts w:ascii="仿宋_GB2312" w:eastAsia="仿宋_GB2312" w:hAnsi="仿宋" w:hint="eastAsia"/>
          <w:color w:val="000000"/>
          <w:spacing w:val="-8"/>
          <w:kern w:val="0"/>
          <w:sz w:val="32"/>
          <w:szCs w:val="32"/>
        </w:rPr>
        <w:t>区财政局预算管理部</w:t>
      </w:r>
      <w:r w:rsidRPr="00B16571">
        <w:rPr>
          <w:rFonts w:ascii="仿宋_GB2312" w:eastAsia="仿宋_GB2312" w:hAnsi="仿宋" w:hint="eastAsia"/>
          <w:color w:val="000000"/>
          <w:spacing w:val="-8"/>
          <w:kern w:val="0"/>
          <w:sz w:val="32"/>
          <w:szCs w:val="32"/>
        </w:rPr>
        <w:lastRenderedPageBreak/>
        <w:t>门根据</w:t>
      </w:r>
      <w:r w:rsidRPr="00B16571">
        <w:rPr>
          <w:rFonts w:ascii="仿宋_GB2312" w:eastAsia="仿宋_GB2312" w:hAnsi="仿宋" w:hint="eastAsia"/>
          <w:spacing w:val="-8"/>
          <w:sz w:val="32"/>
          <w:szCs w:val="32"/>
        </w:rPr>
        <w:t>批复文件，</w:t>
      </w:r>
      <w:r w:rsidRPr="00B16571">
        <w:rPr>
          <w:rFonts w:ascii="仿宋_GB2312" w:eastAsia="仿宋_GB2312" w:hAnsi="仿宋" w:hint="eastAsia"/>
          <w:color w:val="000000"/>
          <w:spacing w:val="-8"/>
          <w:kern w:val="0"/>
          <w:sz w:val="32"/>
          <w:szCs w:val="32"/>
        </w:rPr>
        <w:t>结合财力可能安排预算资金。其中：对于可以在区级范围内调剂解决的，由区财政局资产管理部门安排调剂，原则上不予购置。</w:t>
      </w:r>
    </w:p>
    <w:p w:rsidR="0039214B" w:rsidRPr="00B16571" w:rsidRDefault="0039214B" w:rsidP="0039214B">
      <w:pPr>
        <w:spacing w:line="540" w:lineRule="exact"/>
        <w:ind w:firstLineChars="200" w:firstLine="608"/>
        <w:rPr>
          <w:rFonts w:ascii="黑体" w:eastAsia="黑体" w:hAnsi="黑体"/>
          <w:color w:val="000000"/>
          <w:spacing w:val="-8"/>
          <w:kern w:val="0"/>
          <w:sz w:val="32"/>
          <w:szCs w:val="32"/>
        </w:rPr>
      </w:pPr>
      <w:r w:rsidRPr="00B16571">
        <w:rPr>
          <w:rFonts w:ascii="黑体" w:eastAsia="黑体" w:hAnsi="黑体" w:hint="eastAsia"/>
          <w:color w:val="000000"/>
          <w:spacing w:val="-8"/>
          <w:kern w:val="0"/>
          <w:sz w:val="32"/>
          <w:szCs w:val="32"/>
        </w:rPr>
        <w:t>三、编制相关规定</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（一）上报时间</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各单位应于2017年8月31日前，将资产配置计划相关材料上报区财政局（国资办）产权科。其中，无配置计划的单位，仍须做好资产月结账、单位基础信息维护和资产类别核对修改等工作，报送经单位负责人签字并加盖公章的配置计划审批表（空白）和单位基础信息表。</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（二）上报材料</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1.经主管部门审核签字并盖章的配置计划审批表；</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2.资产配置计划编制说明，写明拟配置资产的现有存量、配置原因等；超标准配置资产的，必须做出专题说明，并提供有关依据材料；</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3.本单位最近一个月份的资产负债表；</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4.单位基础信息表；</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5.其他与配置计划相关的材料。</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各单位须对上述材料的真实性、有关数据的准确性负责，所有材料均需加盖单位公章。</w:t>
      </w:r>
    </w:p>
    <w:p w:rsidR="0039214B" w:rsidRPr="00B16571" w:rsidRDefault="0039214B" w:rsidP="0039214B">
      <w:pPr>
        <w:spacing w:line="540" w:lineRule="exact"/>
        <w:ind w:firstLineChars="150" w:firstLine="456"/>
        <w:rPr>
          <w:rFonts w:ascii="楷体_GB2312" w:eastAsia="楷体_GB2312" w:hAnsi="仿宋"/>
          <w:color w:val="000000"/>
          <w:spacing w:val="-8"/>
          <w:kern w:val="0"/>
          <w:sz w:val="32"/>
          <w:szCs w:val="32"/>
        </w:rPr>
      </w:pPr>
      <w:r w:rsidRPr="00B16571">
        <w:rPr>
          <w:rFonts w:ascii="楷体_GB2312" w:eastAsia="楷体_GB2312" w:hAnsi="仿宋" w:hint="eastAsia"/>
          <w:color w:val="000000"/>
          <w:spacing w:val="-8"/>
          <w:kern w:val="0"/>
          <w:sz w:val="32"/>
          <w:szCs w:val="32"/>
        </w:rPr>
        <w:t>（三）其他规定</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1.资产配置计划一经批复，不得随意调整，确需调整的，按照上述程序报批。超越资产配置计划购置资产的，以及未经审批自行购建资产的，依据《财政违法行为处罚处分条例》（国务院令第427号）等有关规定处理。</w:t>
      </w:r>
    </w:p>
    <w:p w:rsidR="0039214B" w:rsidRPr="00B16571" w:rsidRDefault="0039214B" w:rsidP="0039214B">
      <w:pPr>
        <w:spacing w:line="540" w:lineRule="exact"/>
        <w:ind w:firstLineChars="210" w:firstLine="63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lastRenderedPageBreak/>
        <w:t>2.严格控制预算追加，确需追加资产购置的，按照预算追加的相关程序及资产购置审批程序办理。</w:t>
      </w:r>
    </w:p>
    <w:p w:rsidR="0039214B" w:rsidRPr="00B16571" w:rsidRDefault="0039214B" w:rsidP="0039214B">
      <w:pPr>
        <w:spacing w:line="540" w:lineRule="exact"/>
        <w:ind w:firstLineChars="210" w:firstLine="63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3.各单位申请办公用房装修，应严格执行国家、省、市有关办公用房清理整改的文件精神，</w:t>
      </w:r>
      <w:r w:rsidRPr="00B16571">
        <w:rPr>
          <w:rFonts w:ascii="仿宋_GB2312" w:eastAsia="仿宋_GB2312" w:hAnsi="仿宋" w:hint="eastAsia"/>
          <w:spacing w:val="-8"/>
          <w:sz w:val="32"/>
          <w:szCs w:val="32"/>
        </w:rPr>
        <w:t>坚持经济适用、量力而行的原则，严格控制装修标准，不得变相进行改建、扩建或者超标准装修。</w:t>
      </w:r>
    </w:p>
    <w:p w:rsidR="0039214B" w:rsidRPr="00B16571" w:rsidRDefault="0039214B" w:rsidP="0039214B">
      <w:pPr>
        <w:spacing w:line="540" w:lineRule="exact"/>
        <w:ind w:firstLineChars="200" w:firstLine="60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4.各单位编报资产配置计划前，须确保资产系统资产数据与财务数据相一致，并按规定做好资产月结账。资产与财务数据不一致，或未月结账的，暂缓审批（有特殊情况并作出合理说明的除外）。</w:t>
      </w:r>
    </w:p>
    <w:p w:rsidR="0039214B" w:rsidRPr="00B16571" w:rsidRDefault="0039214B" w:rsidP="0039214B">
      <w:pPr>
        <w:spacing w:line="540" w:lineRule="exact"/>
        <w:ind w:firstLineChars="210" w:firstLine="638"/>
        <w:rPr>
          <w:rFonts w:ascii="仿宋_GB2312" w:eastAsia="仿宋_GB2312" w:hAnsi="仿宋"/>
          <w:color w:val="000000"/>
          <w:spacing w:val="-8"/>
          <w:kern w:val="0"/>
          <w:sz w:val="32"/>
          <w:szCs w:val="32"/>
        </w:rPr>
      </w:pPr>
      <w:r w:rsidRPr="00B16571">
        <w:rPr>
          <w:rFonts w:ascii="仿宋_GB2312" w:eastAsia="仿宋_GB2312" w:hAnsi="仿宋" w:hint="eastAsia"/>
          <w:color w:val="000000"/>
          <w:spacing w:val="-8"/>
          <w:kern w:val="0"/>
          <w:sz w:val="32"/>
          <w:szCs w:val="32"/>
        </w:rPr>
        <w:t>5.各单位应高度重视资产配置计划编制工作，资产配置计划未经批复，一律不得列入部门预算和单位经费支出。各主管部门应切实加强对下属单位资产配置计划编制工作的组织领导，厉行节约，从严把关，认真做好审核上报工作。</w:t>
      </w:r>
    </w:p>
    <w:p w:rsidR="0039214B" w:rsidRPr="00B16571" w:rsidRDefault="0039214B" w:rsidP="0039214B">
      <w:pPr>
        <w:spacing w:line="540" w:lineRule="exact"/>
        <w:rPr>
          <w:rFonts w:ascii="仿宋_GB2312" w:eastAsia="仿宋_GB2312" w:hAnsi="仿宋"/>
          <w:spacing w:val="-8"/>
          <w:sz w:val="32"/>
          <w:szCs w:val="32"/>
        </w:rPr>
      </w:pPr>
    </w:p>
    <w:p w:rsidR="0039214B" w:rsidRDefault="0039214B" w:rsidP="0039214B">
      <w:pPr>
        <w:spacing w:line="540" w:lineRule="exact"/>
        <w:ind w:firstLineChars="200" w:firstLine="608"/>
        <w:rPr>
          <w:rFonts w:ascii="仿宋_GB2312" w:eastAsia="仿宋_GB2312" w:hAnsi="仿宋"/>
          <w:bCs/>
          <w:spacing w:val="-8"/>
          <w:sz w:val="32"/>
          <w:szCs w:val="32"/>
        </w:rPr>
      </w:pPr>
      <w:r w:rsidRPr="00B16571">
        <w:rPr>
          <w:rFonts w:ascii="黑体" w:eastAsia="黑体" w:hAnsi="黑体" w:hint="eastAsia"/>
          <w:spacing w:val="-8"/>
          <w:sz w:val="32"/>
          <w:szCs w:val="32"/>
        </w:rPr>
        <w:t>附件：</w:t>
      </w:r>
      <w:r w:rsidRPr="00B16571">
        <w:rPr>
          <w:rFonts w:ascii="仿宋_GB2312" w:eastAsia="仿宋_GB2312" w:hAnsi="仿宋" w:hint="eastAsia"/>
          <w:bCs/>
          <w:spacing w:val="-8"/>
          <w:sz w:val="32"/>
          <w:szCs w:val="32"/>
        </w:rPr>
        <w:t>龙湾区行政事业单位</w:t>
      </w:r>
      <w:r w:rsidRPr="00B16571">
        <w:rPr>
          <w:rFonts w:ascii="仿宋_GB2312" w:eastAsia="仿宋_GB2312" w:hAnsi="仿宋" w:hint="eastAsia"/>
          <w:bCs/>
          <w:spacing w:val="-8"/>
          <w:sz w:val="32"/>
          <w:szCs w:val="32"/>
          <w:u w:val="single"/>
        </w:rPr>
        <w:t>2018</w:t>
      </w:r>
      <w:r w:rsidRPr="00B16571">
        <w:rPr>
          <w:rFonts w:ascii="仿宋_GB2312" w:eastAsia="仿宋_GB2312" w:hAnsi="仿宋" w:hint="eastAsia"/>
          <w:bCs/>
          <w:spacing w:val="-8"/>
          <w:sz w:val="32"/>
          <w:szCs w:val="32"/>
        </w:rPr>
        <w:t>年度资产配置计划审批表</w:t>
      </w:r>
    </w:p>
    <w:p w:rsidR="0039214B" w:rsidRDefault="0039214B" w:rsidP="0039214B">
      <w:pPr>
        <w:spacing w:line="540" w:lineRule="exact"/>
        <w:ind w:firstLineChars="200" w:firstLine="608"/>
        <w:rPr>
          <w:rFonts w:ascii="仿宋_GB2312" w:eastAsia="仿宋_GB2312" w:hAnsi="仿宋"/>
          <w:bCs/>
          <w:spacing w:val="-8"/>
          <w:sz w:val="32"/>
          <w:szCs w:val="32"/>
        </w:rPr>
      </w:pPr>
    </w:p>
    <w:p w:rsidR="0039214B" w:rsidRDefault="0039214B" w:rsidP="0039214B">
      <w:pPr>
        <w:spacing w:line="540" w:lineRule="exact"/>
        <w:ind w:firstLineChars="200" w:firstLine="608"/>
        <w:rPr>
          <w:rFonts w:ascii="仿宋_GB2312" w:eastAsia="仿宋_GB2312" w:hAnsi="仿宋"/>
          <w:bCs/>
          <w:spacing w:val="-8"/>
          <w:sz w:val="32"/>
          <w:szCs w:val="32"/>
        </w:rPr>
      </w:pPr>
    </w:p>
    <w:p w:rsidR="0039214B" w:rsidRDefault="0039214B" w:rsidP="0039214B">
      <w:pPr>
        <w:spacing w:line="540" w:lineRule="exact"/>
        <w:jc w:val="right"/>
        <w:rPr>
          <w:rFonts w:ascii="仿宋_GB2312" w:eastAsia="仿宋_GB2312" w:hAnsi="仿宋"/>
          <w:bCs/>
          <w:spacing w:val="-8"/>
          <w:sz w:val="32"/>
          <w:szCs w:val="32"/>
        </w:rPr>
      </w:pPr>
      <w:r>
        <w:rPr>
          <w:rFonts w:ascii="仿宋_GB2312" w:eastAsia="仿宋_GB2312" w:hAnsi="仿宋"/>
          <w:bCs/>
          <w:spacing w:val="-8"/>
          <w:sz w:val="32"/>
          <w:szCs w:val="32"/>
        </w:rPr>
        <w:t>温州市龙湾区财政局</w:t>
      </w:r>
    </w:p>
    <w:p w:rsidR="0039214B" w:rsidRPr="000920BD" w:rsidRDefault="0039214B" w:rsidP="0039214B">
      <w:pPr>
        <w:spacing w:line="540" w:lineRule="exact"/>
        <w:ind w:firstLine="658"/>
        <w:jc w:val="right"/>
        <w:rPr>
          <w:rFonts w:ascii="仿宋_GB2312" w:eastAsia="仿宋_GB2312" w:hAnsi="宋体" w:cs="Calibri"/>
          <w:sz w:val="32"/>
          <w:szCs w:val="32"/>
        </w:rPr>
      </w:pPr>
      <w:r>
        <w:rPr>
          <w:rFonts w:ascii="仿宋_GB2312" w:eastAsia="仿宋_GB2312" w:hAnsi="仿宋" w:hint="eastAsia"/>
          <w:bCs/>
          <w:spacing w:val="-8"/>
          <w:sz w:val="32"/>
          <w:szCs w:val="32"/>
        </w:rPr>
        <w:t>2017年7月12日</w:t>
      </w:r>
    </w:p>
    <w:p w:rsidR="0039214B" w:rsidRDefault="0039214B" w:rsidP="0039214B"/>
    <w:p w:rsidR="0039214B" w:rsidRDefault="0039214B" w:rsidP="0039214B"/>
    <w:p w:rsidR="0039214B" w:rsidRDefault="0039214B" w:rsidP="0039214B"/>
    <w:p w:rsidR="0039214B" w:rsidRDefault="0039214B" w:rsidP="0039214B"/>
    <w:p w:rsidR="0039214B" w:rsidRPr="005D2763" w:rsidRDefault="004E4B39" w:rsidP="0039214B">
      <w:r>
        <w:rPr>
          <w:rFonts w:ascii="仿宋_GB2312" w:eastAsia="仿宋_GB2312"/>
          <w:sz w:val="28"/>
          <w:szCs w:val="28"/>
        </w:rPr>
        <w:pict>
          <v:line id="_x0000_s1028" style="position:absolute;left:0;text-align:left;z-index:251663360" from="-18pt,18.85pt" to="441pt,18.85pt"/>
        </w:pict>
      </w:r>
    </w:p>
    <w:p w:rsidR="004E6AB8" w:rsidRDefault="004E4B39">
      <w:pPr>
        <w:rPr>
          <w:rFonts w:ascii="仿宋_GB2312" w:eastAsia="仿宋_GB2312"/>
          <w:sz w:val="28"/>
          <w:szCs w:val="28"/>
        </w:rPr>
      </w:pPr>
      <w:r>
        <w:rPr>
          <w:rFonts w:ascii="仿宋_GB2312" w:eastAsia="仿宋_GB2312"/>
          <w:sz w:val="28"/>
          <w:szCs w:val="28"/>
        </w:rPr>
        <w:pict>
          <v:line id="_x0000_s1029" style="position:absolute;left:0;text-align:left;z-index:251664384" from="-18pt,29.2pt" to="441pt,29.2pt"/>
        </w:pict>
      </w:r>
      <w:r w:rsidR="0039214B" w:rsidRPr="005D2763">
        <w:rPr>
          <w:rFonts w:ascii="仿宋_GB2312" w:eastAsia="仿宋_GB2312" w:hint="eastAsia"/>
          <w:sz w:val="28"/>
          <w:szCs w:val="28"/>
        </w:rPr>
        <w:t xml:space="preserve">温州市龙湾区财政局办公室   </w:t>
      </w:r>
      <w:r w:rsidR="00BA2C8B">
        <w:rPr>
          <w:rFonts w:ascii="仿宋_GB2312" w:eastAsia="仿宋_GB2312"/>
          <w:sz w:val="28"/>
          <w:szCs w:val="28"/>
        </w:rPr>
        <w:t xml:space="preserve">          </w:t>
      </w:r>
      <w:r w:rsidR="0039214B" w:rsidRPr="005D2763">
        <w:rPr>
          <w:rFonts w:ascii="仿宋_GB2312" w:eastAsia="仿宋_GB2312" w:hint="eastAsia"/>
          <w:sz w:val="28"/>
          <w:szCs w:val="28"/>
        </w:rPr>
        <w:t xml:space="preserve"> </w:t>
      </w:r>
      <w:r w:rsidR="0039214B">
        <w:rPr>
          <w:rFonts w:ascii="仿宋_GB2312" w:eastAsia="仿宋_GB2312" w:hint="eastAsia"/>
          <w:sz w:val="28"/>
          <w:szCs w:val="28"/>
        </w:rPr>
        <w:t>2017</w:t>
      </w:r>
      <w:r w:rsidR="0039214B" w:rsidRPr="005D2763">
        <w:rPr>
          <w:rFonts w:ascii="仿宋_GB2312" w:eastAsia="仿宋_GB2312" w:hint="eastAsia"/>
          <w:sz w:val="28"/>
          <w:szCs w:val="28"/>
        </w:rPr>
        <w:t>年</w:t>
      </w:r>
      <w:r w:rsidR="0039214B">
        <w:rPr>
          <w:rFonts w:ascii="仿宋_GB2312" w:eastAsia="仿宋_GB2312" w:hint="eastAsia"/>
          <w:sz w:val="28"/>
          <w:szCs w:val="28"/>
        </w:rPr>
        <w:t>7</w:t>
      </w:r>
      <w:r w:rsidR="0039214B" w:rsidRPr="005D2763">
        <w:rPr>
          <w:rFonts w:ascii="仿宋_GB2312" w:eastAsia="仿宋_GB2312" w:hint="eastAsia"/>
          <w:sz w:val="28"/>
          <w:szCs w:val="28"/>
        </w:rPr>
        <w:t>月</w:t>
      </w:r>
      <w:r w:rsidR="0039214B">
        <w:rPr>
          <w:rFonts w:ascii="仿宋_GB2312" w:eastAsia="仿宋_GB2312" w:hint="eastAsia"/>
          <w:sz w:val="28"/>
          <w:szCs w:val="28"/>
        </w:rPr>
        <w:t>1</w:t>
      </w:r>
      <w:r w:rsidR="0039214B">
        <w:rPr>
          <w:rFonts w:ascii="仿宋_GB2312" w:eastAsia="仿宋_GB2312"/>
          <w:sz w:val="28"/>
          <w:szCs w:val="28"/>
        </w:rPr>
        <w:t>2</w:t>
      </w:r>
      <w:r w:rsidR="0039214B" w:rsidRPr="005D2763">
        <w:rPr>
          <w:rFonts w:ascii="仿宋_GB2312" w:eastAsia="仿宋_GB2312" w:hint="eastAsia"/>
          <w:sz w:val="28"/>
          <w:szCs w:val="28"/>
        </w:rPr>
        <w:t>日印发</w:t>
      </w:r>
      <w:bookmarkEnd w:id="1"/>
    </w:p>
    <w:p w:rsidR="006D2393" w:rsidRDefault="006D2393" w:rsidP="006D2393">
      <w:pPr>
        <w:widowControl/>
        <w:jc w:val="left"/>
        <w:rPr>
          <w:rFonts w:ascii="黑体" w:eastAsia="黑体"/>
          <w:kern w:val="0"/>
          <w:sz w:val="32"/>
          <w:szCs w:val="32"/>
        </w:rPr>
        <w:sectPr w:rsidR="006D2393" w:rsidSect="00F42DF2">
          <w:footerReference w:type="even" r:id="rId6"/>
          <w:footerReference w:type="default" r:id="rId7"/>
          <w:pgSz w:w="11906" w:h="16838"/>
          <w:pgMar w:top="1440" w:right="1800" w:bottom="1440" w:left="1800" w:header="851" w:footer="992" w:gutter="0"/>
          <w:pgNumType w:fmt="numberInDash"/>
          <w:cols w:space="425"/>
          <w:docGrid w:type="lines" w:linePitch="312"/>
        </w:sectPr>
      </w:pPr>
    </w:p>
    <w:p w:rsidR="006D2393" w:rsidRPr="00D8683C" w:rsidRDefault="006D2393" w:rsidP="006D2393">
      <w:pPr>
        <w:widowControl/>
        <w:jc w:val="left"/>
        <w:rPr>
          <w:rFonts w:ascii="黑体" w:eastAsia="黑体"/>
          <w:kern w:val="0"/>
          <w:sz w:val="32"/>
          <w:szCs w:val="32"/>
        </w:rPr>
      </w:pPr>
      <w:r w:rsidRPr="00D8683C">
        <w:rPr>
          <w:rFonts w:ascii="黑体" w:eastAsia="黑体" w:hint="eastAsia"/>
          <w:kern w:val="0"/>
          <w:sz w:val="32"/>
          <w:szCs w:val="32"/>
        </w:rPr>
        <w:lastRenderedPageBreak/>
        <w:t>附件</w:t>
      </w:r>
    </w:p>
    <w:tbl>
      <w:tblPr>
        <w:tblW w:w="14208" w:type="dxa"/>
        <w:tblInd w:w="93" w:type="dxa"/>
        <w:tblLayout w:type="fixed"/>
        <w:tblLook w:val="0000" w:firstRow="0" w:lastRow="0" w:firstColumn="0" w:lastColumn="0" w:noHBand="0" w:noVBand="0"/>
      </w:tblPr>
      <w:tblGrid>
        <w:gridCol w:w="1793"/>
        <w:gridCol w:w="1030"/>
        <w:gridCol w:w="1135"/>
        <w:gridCol w:w="1136"/>
        <w:gridCol w:w="1136"/>
        <w:gridCol w:w="1056"/>
        <w:gridCol w:w="1067"/>
        <w:gridCol w:w="7"/>
        <w:gridCol w:w="1258"/>
        <w:gridCol w:w="1196"/>
        <w:gridCol w:w="976"/>
        <w:gridCol w:w="1138"/>
        <w:gridCol w:w="1280"/>
      </w:tblGrid>
      <w:tr w:rsidR="006D2393" w:rsidTr="008E673E">
        <w:trPr>
          <w:trHeight w:val="1405"/>
        </w:trPr>
        <w:tc>
          <w:tcPr>
            <w:tcW w:w="14208" w:type="dxa"/>
            <w:gridSpan w:val="13"/>
            <w:tcBorders>
              <w:top w:val="nil"/>
              <w:left w:val="nil"/>
              <w:bottom w:val="nil"/>
              <w:right w:val="nil"/>
            </w:tcBorders>
            <w:vAlign w:val="center"/>
          </w:tcPr>
          <w:p w:rsidR="006D2393" w:rsidRPr="00D8683C" w:rsidRDefault="006D2393" w:rsidP="008E673E">
            <w:pPr>
              <w:widowControl/>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龙湾区</w:t>
            </w:r>
            <w:r w:rsidRPr="00D8683C">
              <w:rPr>
                <w:rFonts w:ascii="方正小标宋简体" w:eastAsia="方正小标宋简体" w:hAnsi="宋体" w:cs="宋体" w:hint="eastAsia"/>
                <w:bCs/>
                <w:kern w:val="0"/>
                <w:sz w:val="44"/>
                <w:szCs w:val="44"/>
              </w:rPr>
              <w:t>行政事业单位</w:t>
            </w:r>
            <w:r>
              <w:rPr>
                <w:rFonts w:ascii="方正小标宋简体" w:eastAsia="方正小标宋简体" w:hAnsi="宋体" w:cs="宋体"/>
                <w:bCs/>
                <w:kern w:val="0"/>
                <w:sz w:val="44"/>
                <w:szCs w:val="44"/>
                <w:u w:val="single"/>
              </w:rPr>
              <w:t>2018</w:t>
            </w:r>
            <w:r w:rsidRPr="00D8683C">
              <w:rPr>
                <w:rFonts w:ascii="方正小标宋简体" w:eastAsia="方正小标宋简体" w:hAnsi="宋体" w:cs="宋体" w:hint="eastAsia"/>
                <w:bCs/>
                <w:kern w:val="0"/>
                <w:sz w:val="44"/>
                <w:szCs w:val="44"/>
              </w:rPr>
              <w:t>年度资产配置计划审批表</w:t>
            </w:r>
          </w:p>
        </w:tc>
      </w:tr>
      <w:tr w:rsidR="006D2393" w:rsidRPr="00D8683C" w:rsidTr="008E673E">
        <w:trPr>
          <w:trHeight w:val="688"/>
        </w:trPr>
        <w:tc>
          <w:tcPr>
            <w:tcW w:w="6232" w:type="dxa"/>
            <w:gridSpan w:val="5"/>
            <w:tcBorders>
              <w:top w:val="nil"/>
              <w:left w:val="nil"/>
              <w:bottom w:val="nil"/>
              <w:right w:val="nil"/>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单位：</w:t>
            </w:r>
          </w:p>
        </w:tc>
        <w:tc>
          <w:tcPr>
            <w:tcW w:w="2130" w:type="dxa"/>
            <w:gridSpan w:val="3"/>
            <w:tcBorders>
              <w:top w:val="nil"/>
              <w:left w:val="nil"/>
              <w:bottom w:val="nil"/>
              <w:right w:val="nil"/>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实有在职人数：</w:t>
            </w:r>
          </w:p>
        </w:tc>
        <w:tc>
          <w:tcPr>
            <w:tcW w:w="1258" w:type="dxa"/>
            <w:tcBorders>
              <w:top w:val="nil"/>
              <w:left w:val="nil"/>
              <w:bottom w:val="single" w:sz="4" w:space="0" w:color="auto"/>
              <w:right w:val="nil"/>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96" w:type="dxa"/>
            <w:tcBorders>
              <w:top w:val="nil"/>
              <w:left w:val="nil"/>
              <w:bottom w:val="nil"/>
              <w:right w:val="nil"/>
            </w:tcBorders>
            <w:vAlign w:val="center"/>
          </w:tcPr>
          <w:p w:rsidR="006D2393" w:rsidRPr="00D8683C" w:rsidRDefault="006D2393" w:rsidP="008E673E">
            <w:pPr>
              <w:widowControl/>
              <w:jc w:val="center"/>
              <w:rPr>
                <w:rFonts w:ascii="仿宋_GB2312" w:eastAsia="仿宋_GB2312" w:hAnsi="宋体" w:cs="宋体"/>
                <w:kern w:val="0"/>
                <w:szCs w:val="21"/>
              </w:rPr>
            </w:pPr>
          </w:p>
        </w:tc>
        <w:tc>
          <w:tcPr>
            <w:tcW w:w="976" w:type="dxa"/>
            <w:tcBorders>
              <w:top w:val="nil"/>
              <w:left w:val="nil"/>
              <w:bottom w:val="nil"/>
              <w:right w:val="nil"/>
            </w:tcBorders>
            <w:vAlign w:val="center"/>
          </w:tcPr>
          <w:p w:rsidR="006D2393" w:rsidRPr="00D8683C" w:rsidRDefault="006D2393" w:rsidP="008E673E">
            <w:pPr>
              <w:widowControl/>
              <w:jc w:val="center"/>
              <w:rPr>
                <w:rFonts w:ascii="仿宋_GB2312" w:eastAsia="仿宋_GB2312" w:hAnsi="宋体" w:cs="宋体"/>
                <w:kern w:val="0"/>
                <w:szCs w:val="21"/>
              </w:rPr>
            </w:pPr>
          </w:p>
        </w:tc>
        <w:tc>
          <w:tcPr>
            <w:tcW w:w="2416" w:type="dxa"/>
            <w:gridSpan w:val="2"/>
            <w:tcBorders>
              <w:top w:val="nil"/>
              <w:left w:val="nil"/>
              <w:bottom w:val="single" w:sz="4" w:space="0" w:color="auto"/>
              <w:right w:val="nil"/>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金额单位：元</w:t>
            </w:r>
          </w:p>
        </w:tc>
      </w:tr>
      <w:tr w:rsidR="006D2393" w:rsidRPr="00D8683C" w:rsidTr="008E673E">
        <w:trPr>
          <w:trHeight w:val="624"/>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拟购建资产名称</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品牌</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规格型号</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计量单位</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数量</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6D2393"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计划</w:t>
            </w:r>
          </w:p>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单价</w:t>
            </w: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计划总额</w:t>
            </w:r>
          </w:p>
        </w:tc>
        <w:tc>
          <w:tcPr>
            <w:tcW w:w="1258" w:type="dxa"/>
            <w:vMerge w:val="restart"/>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配置方式</w:t>
            </w:r>
          </w:p>
        </w:tc>
        <w:tc>
          <w:tcPr>
            <w:tcW w:w="1196" w:type="dxa"/>
            <w:vMerge w:val="restart"/>
            <w:tcBorders>
              <w:top w:val="single" w:sz="4" w:space="0" w:color="auto"/>
              <w:left w:val="single" w:sz="4" w:space="0" w:color="auto"/>
              <w:bottom w:val="single" w:sz="4" w:space="0" w:color="000000"/>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同类资产存量（台、件、套）</w:t>
            </w:r>
          </w:p>
        </w:tc>
        <w:tc>
          <w:tcPr>
            <w:tcW w:w="2112" w:type="dxa"/>
            <w:gridSpan w:val="2"/>
            <w:vMerge w:val="restart"/>
            <w:tcBorders>
              <w:top w:val="single" w:sz="4" w:space="0" w:color="auto"/>
              <w:left w:val="single" w:sz="4" w:space="0" w:color="auto"/>
              <w:bottom w:val="single" w:sz="4" w:space="0" w:color="000000"/>
              <w:right w:val="single" w:sz="4" w:space="0" w:color="000000"/>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财政批复数</w:t>
            </w:r>
          </w:p>
        </w:tc>
        <w:tc>
          <w:tcPr>
            <w:tcW w:w="1280" w:type="dxa"/>
            <w:vMerge w:val="restart"/>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备注</w:t>
            </w:r>
          </w:p>
        </w:tc>
      </w:tr>
      <w:tr w:rsidR="006D2393" w:rsidRPr="00D8683C" w:rsidTr="008E673E">
        <w:trPr>
          <w:trHeight w:val="624"/>
        </w:trPr>
        <w:tc>
          <w:tcPr>
            <w:tcW w:w="1794"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258" w:type="dxa"/>
            <w:vMerge/>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96" w:type="dxa"/>
            <w:vMerge/>
            <w:tcBorders>
              <w:top w:val="single" w:sz="4" w:space="0" w:color="auto"/>
              <w:left w:val="single" w:sz="4" w:space="0" w:color="auto"/>
              <w:bottom w:val="single" w:sz="4" w:space="0" w:color="000000"/>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2112" w:type="dxa"/>
            <w:gridSpan w:val="2"/>
            <w:vMerge/>
            <w:tcBorders>
              <w:top w:val="single" w:sz="4" w:space="0" w:color="auto"/>
              <w:left w:val="single" w:sz="4" w:space="0" w:color="auto"/>
              <w:bottom w:val="single" w:sz="4" w:space="0" w:color="000000"/>
              <w:right w:val="single" w:sz="4" w:space="0" w:color="000000"/>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280" w:type="dxa"/>
            <w:vMerge/>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r>
      <w:tr w:rsidR="006D2393" w:rsidRPr="00D8683C" w:rsidTr="008E673E">
        <w:trPr>
          <w:trHeight w:val="643"/>
        </w:trPr>
        <w:tc>
          <w:tcPr>
            <w:tcW w:w="1794"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258" w:type="dxa"/>
            <w:vMerge/>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96" w:type="dxa"/>
            <w:vMerge/>
            <w:tcBorders>
              <w:top w:val="single" w:sz="4" w:space="0" w:color="auto"/>
              <w:left w:val="single" w:sz="4" w:space="0" w:color="auto"/>
              <w:bottom w:val="single" w:sz="4" w:space="0" w:color="000000"/>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976" w:type="dxa"/>
            <w:tcBorders>
              <w:top w:val="nil"/>
              <w:left w:val="nil"/>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数量</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金额</w:t>
            </w:r>
          </w:p>
        </w:tc>
        <w:tc>
          <w:tcPr>
            <w:tcW w:w="1280" w:type="dxa"/>
            <w:vMerge/>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r>
      <w:tr w:rsidR="006D2393" w:rsidRPr="00D8683C" w:rsidTr="008E673E">
        <w:trPr>
          <w:trHeight w:val="493"/>
        </w:trPr>
        <w:tc>
          <w:tcPr>
            <w:tcW w:w="1794" w:type="dxa"/>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31"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5"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5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74" w:type="dxa"/>
            <w:gridSpan w:val="2"/>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258"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9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280"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r>
      <w:tr w:rsidR="006D2393" w:rsidRPr="00D8683C" w:rsidTr="008E673E">
        <w:trPr>
          <w:trHeight w:val="493"/>
        </w:trPr>
        <w:tc>
          <w:tcPr>
            <w:tcW w:w="1794" w:type="dxa"/>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31"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5"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5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074" w:type="dxa"/>
            <w:gridSpan w:val="2"/>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258"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9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97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c>
          <w:tcPr>
            <w:tcW w:w="1280"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r w:rsidRPr="00D8683C">
              <w:rPr>
                <w:rFonts w:ascii="仿宋_GB2312" w:eastAsia="仿宋_GB2312" w:hAnsi="宋体" w:cs="宋体" w:hint="eastAsia"/>
                <w:kern w:val="0"/>
                <w:szCs w:val="21"/>
              </w:rPr>
              <w:t xml:space="preserve">　</w:t>
            </w:r>
          </w:p>
        </w:tc>
      </w:tr>
      <w:tr w:rsidR="006D2393" w:rsidRPr="00D8683C" w:rsidTr="008E673E">
        <w:trPr>
          <w:trHeight w:val="493"/>
        </w:trPr>
        <w:tc>
          <w:tcPr>
            <w:tcW w:w="1794" w:type="dxa"/>
            <w:tcBorders>
              <w:top w:val="nil"/>
              <w:left w:val="single" w:sz="4" w:space="0" w:color="auto"/>
              <w:bottom w:val="single" w:sz="4" w:space="0" w:color="auto"/>
              <w:right w:val="single" w:sz="4" w:space="0" w:color="auto"/>
            </w:tcBorders>
            <w:vAlign w:val="center"/>
          </w:tcPr>
          <w:p w:rsidR="006D2393" w:rsidRPr="00D8683C" w:rsidRDefault="006D2393" w:rsidP="008E673E">
            <w:pPr>
              <w:widowControl/>
              <w:jc w:val="center"/>
              <w:rPr>
                <w:rFonts w:ascii="仿宋_GB2312" w:eastAsia="仿宋_GB2312" w:hAnsi="宋体" w:cs="宋体"/>
                <w:kern w:val="0"/>
                <w:szCs w:val="21"/>
              </w:rPr>
            </w:pPr>
          </w:p>
        </w:tc>
        <w:tc>
          <w:tcPr>
            <w:tcW w:w="1031"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5"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5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074" w:type="dxa"/>
            <w:gridSpan w:val="2"/>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258" w:type="dxa"/>
            <w:tcBorders>
              <w:top w:val="nil"/>
              <w:left w:val="nil"/>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9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97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136"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c>
          <w:tcPr>
            <w:tcW w:w="1280" w:type="dxa"/>
            <w:tcBorders>
              <w:top w:val="nil"/>
              <w:left w:val="nil"/>
              <w:bottom w:val="single" w:sz="4" w:space="0" w:color="auto"/>
              <w:right w:val="single" w:sz="4" w:space="0" w:color="auto"/>
            </w:tcBorders>
            <w:vAlign w:val="center"/>
          </w:tcPr>
          <w:p w:rsidR="006D2393" w:rsidRPr="00D8683C" w:rsidRDefault="006D2393" w:rsidP="008E673E">
            <w:pPr>
              <w:widowControl/>
              <w:jc w:val="left"/>
              <w:rPr>
                <w:rFonts w:ascii="仿宋_GB2312" w:eastAsia="仿宋_GB2312" w:hAnsi="宋体" w:cs="宋体"/>
                <w:kern w:val="0"/>
                <w:szCs w:val="21"/>
              </w:rPr>
            </w:pPr>
          </w:p>
        </w:tc>
      </w:tr>
      <w:tr w:rsidR="006D2393" w:rsidRPr="00D8683C" w:rsidTr="008E673E">
        <w:trPr>
          <w:trHeight w:val="1942"/>
        </w:trPr>
        <w:tc>
          <w:tcPr>
            <w:tcW w:w="3960" w:type="dxa"/>
            <w:gridSpan w:val="3"/>
            <w:tcBorders>
              <w:top w:val="nil"/>
              <w:left w:val="single" w:sz="4" w:space="0" w:color="auto"/>
              <w:bottom w:val="single" w:sz="4" w:space="0" w:color="auto"/>
              <w:right w:val="single" w:sz="4" w:space="0" w:color="auto"/>
            </w:tcBorders>
            <w:vAlign w:val="center"/>
          </w:tcPr>
          <w:p w:rsidR="006D2393" w:rsidRDefault="006D2393" w:rsidP="008E673E">
            <w:pPr>
              <w:widowControl/>
              <w:rPr>
                <w:rFonts w:ascii="仿宋_GB2312" w:eastAsia="仿宋_GB2312" w:hAnsi="宋体" w:cs="宋体"/>
                <w:kern w:val="0"/>
                <w:szCs w:val="21"/>
              </w:rPr>
            </w:pPr>
            <w:r>
              <w:rPr>
                <w:rFonts w:ascii="仿宋_GB2312" w:eastAsia="仿宋_GB2312" w:hAnsi="宋体" w:cs="宋体" w:hint="eastAsia"/>
                <w:kern w:val="0"/>
                <w:szCs w:val="21"/>
              </w:rPr>
              <w:t>单位负责人审核意见</w:t>
            </w:r>
          </w:p>
          <w:p w:rsidR="006D2393" w:rsidRDefault="006D2393" w:rsidP="008E673E">
            <w:pPr>
              <w:widowControl/>
              <w:rPr>
                <w:rFonts w:ascii="仿宋_GB2312" w:eastAsia="仿宋_GB2312" w:hAnsi="宋体" w:cs="宋体"/>
                <w:kern w:val="0"/>
                <w:szCs w:val="21"/>
              </w:rPr>
            </w:pPr>
          </w:p>
          <w:p w:rsidR="006D2393" w:rsidRDefault="006D2393" w:rsidP="008E673E">
            <w:pPr>
              <w:widowControl/>
              <w:ind w:left="1995" w:hangingChars="950" w:hanging="1995"/>
              <w:rPr>
                <w:rFonts w:ascii="仿宋_GB2312" w:eastAsia="仿宋_GB2312" w:hAnsi="宋体" w:cs="宋体"/>
                <w:kern w:val="0"/>
                <w:szCs w:val="21"/>
              </w:rPr>
            </w:pPr>
          </w:p>
          <w:p w:rsidR="006D2393" w:rsidRDefault="006D2393" w:rsidP="008E673E">
            <w:pPr>
              <w:widowControl/>
              <w:ind w:left="1995" w:hangingChars="950" w:hanging="1995"/>
              <w:rPr>
                <w:rFonts w:ascii="仿宋_GB2312" w:eastAsia="仿宋_GB2312" w:hAnsi="宋体" w:cs="宋体"/>
                <w:kern w:val="0"/>
                <w:szCs w:val="21"/>
              </w:rPr>
            </w:pPr>
          </w:p>
          <w:p w:rsidR="006D2393" w:rsidRDefault="006D2393" w:rsidP="008E673E">
            <w:pPr>
              <w:widowControl/>
              <w:ind w:leftChars="950" w:left="1995" w:firstLineChars="50" w:firstLine="105"/>
              <w:rPr>
                <w:rFonts w:ascii="仿宋_GB2312" w:eastAsia="仿宋_GB2312" w:hAnsi="宋体" w:cs="宋体"/>
                <w:kern w:val="0"/>
                <w:szCs w:val="21"/>
              </w:rPr>
            </w:pPr>
            <w:r>
              <w:rPr>
                <w:rFonts w:ascii="仿宋_GB2312" w:eastAsia="仿宋_GB2312" w:hAnsi="宋体" w:cs="宋体" w:hint="eastAsia"/>
                <w:kern w:val="0"/>
                <w:szCs w:val="21"/>
              </w:rPr>
              <w:t>签字（公章）</w:t>
            </w:r>
          </w:p>
          <w:p w:rsidR="006D2393" w:rsidRPr="00D8683C" w:rsidRDefault="006D2393" w:rsidP="008E673E">
            <w:pPr>
              <w:widowControl/>
              <w:ind w:firstLineChars="1000" w:firstLine="2100"/>
              <w:rPr>
                <w:rFonts w:ascii="仿宋_GB2312" w:eastAsia="仿宋_GB2312" w:hAnsi="宋体" w:cs="宋体"/>
                <w:kern w:val="0"/>
                <w:szCs w:val="21"/>
              </w:rPr>
            </w:pPr>
            <w:r w:rsidRPr="00D8683C">
              <w:rPr>
                <w:rFonts w:ascii="仿宋_GB2312" w:eastAsia="仿宋_GB2312" w:hAnsi="宋体" w:cs="宋体" w:hint="eastAsia"/>
                <w:kern w:val="0"/>
                <w:szCs w:val="21"/>
              </w:rPr>
              <w:t>年月日</w:t>
            </w:r>
          </w:p>
        </w:tc>
        <w:tc>
          <w:tcPr>
            <w:tcW w:w="4395" w:type="dxa"/>
            <w:gridSpan w:val="4"/>
            <w:tcBorders>
              <w:top w:val="single" w:sz="4" w:space="0" w:color="auto"/>
              <w:left w:val="single" w:sz="4" w:space="0" w:color="auto"/>
              <w:bottom w:val="single" w:sz="4" w:space="0" w:color="auto"/>
              <w:right w:val="single" w:sz="4" w:space="0" w:color="auto"/>
            </w:tcBorders>
            <w:vAlign w:val="center"/>
          </w:tcPr>
          <w:p w:rsidR="006D2393" w:rsidRDefault="006D2393" w:rsidP="008E673E">
            <w:pPr>
              <w:widowControl/>
              <w:rPr>
                <w:rFonts w:ascii="仿宋_GB2312" w:eastAsia="仿宋_GB2312" w:hAnsi="宋体" w:cs="宋体"/>
                <w:kern w:val="0"/>
                <w:szCs w:val="21"/>
              </w:rPr>
            </w:pPr>
            <w:r w:rsidRPr="00D8683C">
              <w:rPr>
                <w:rFonts w:ascii="仿宋_GB2312" w:eastAsia="仿宋_GB2312" w:hAnsi="宋体" w:cs="宋体" w:hint="eastAsia"/>
                <w:kern w:val="0"/>
                <w:szCs w:val="21"/>
              </w:rPr>
              <w:t>主管部门审核意见</w:t>
            </w:r>
          </w:p>
          <w:p w:rsidR="006D2393" w:rsidRPr="00D8683C" w:rsidRDefault="006D2393" w:rsidP="008E673E">
            <w:pPr>
              <w:widowControl/>
              <w:rPr>
                <w:rFonts w:ascii="仿宋_GB2312" w:eastAsia="仿宋_GB2312" w:hAnsi="宋体" w:cs="宋体"/>
                <w:kern w:val="0"/>
                <w:szCs w:val="21"/>
              </w:rPr>
            </w:pPr>
          </w:p>
          <w:p w:rsidR="006D2393" w:rsidRDefault="006D2393" w:rsidP="008E673E">
            <w:pPr>
              <w:widowControl/>
              <w:jc w:val="center"/>
              <w:rPr>
                <w:rFonts w:ascii="仿宋_GB2312" w:eastAsia="仿宋_GB2312" w:hAnsi="宋体" w:cs="宋体"/>
                <w:kern w:val="0"/>
                <w:szCs w:val="21"/>
              </w:rPr>
            </w:pPr>
          </w:p>
          <w:p w:rsidR="006D2393" w:rsidRDefault="006D2393" w:rsidP="008E673E">
            <w:pPr>
              <w:widowControl/>
              <w:jc w:val="center"/>
              <w:rPr>
                <w:rFonts w:ascii="仿宋_GB2312" w:eastAsia="仿宋_GB2312" w:hAnsi="宋体" w:cs="宋体"/>
                <w:kern w:val="0"/>
                <w:szCs w:val="21"/>
              </w:rPr>
            </w:pPr>
          </w:p>
          <w:p w:rsidR="006D2393" w:rsidRDefault="006D2393" w:rsidP="008E673E">
            <w:pPr>
              <w:widowControl/>
              <w:ind w:leftChars="950" w:left="1995" w:firstLineChars="100" w:firstLine="210"/>
              <w:rPr>
                <w:rFonts w:ascii="仿宋_GB2312" w:eastAsia="仿宋_GB2312" w:hAnsi="宋体" w:cs="宋体"/>
                <w:kern w:val="0"/>
                <w:szCs w:val="21"/>
              </w:rPr>
            </w:pPr>
            <w:r>
              <w:rPr>
                <w:rFonts w:ascii="仿宋_GB2312" w:eastAsia="仿宋_GB2312" w:hAnsi="宋体" w:cs="宋体" w:hint="eastAsia"/>
                <w:kern w:val="0"/>
                <w:szCs w:val="21"/>
              </w:rPr>
              <w:t>签字（公章）</w:t>
            </w:r>
          </w:p>
          <w:p w:rsidR="006D2393" w:rsidRPr="00D8683C" w:rsidRDefault="006D2393" w:rsidP="008E673E">
            <w:pPr>
              <w:widowControl/>
              <w:jc w:val="center"/>
              <w:rPr>
                <w:rFonts w:ascii="仿宋_GB2312" w:eastAsia="仿宋_GB2312" w:hAnsi="宋体" w:cs="宋体"/>
                <w:kern w:val="0"/>
                <w:szCs w:val="21"/>
              </w:rPr>
            </w:pPr>
            <w:r w:rsidRPr="00D8683C">
              <w:rPr>
                <w:rFonts w:ascii="仿宋_GB2312" w:eastAsia="仿宋_GB2312" w:hAnsi="宋体" w:cs="宋体" w:hint="eastAsia"/>
                <w:kern w:val="0"/>
                <w:szCs w:val="21"/>
              </w:rPr>
              <w:t>年月日</w:t>
            </w:r>
          </w:p>
        </w:tc>
        <w:tc>
          <w:tcPr>
            <w:tcW w:w="4575" w:type="dxa"/>
            <w:gridSpan w:val="5"/>
            <w:tcBorders>
              <w:top w:val="single" w:sz="4" w:space="0" w:color="auto"/>
              <w:left w:val="single" w:sz="4" w:space="0" w:color="auto"/>
              <w:bottom w:val="single" w:sz="4" w:space="0" w:color="auto"/>
              <w:right w:val="single" w:sz="4" w:space="0" w:color="auto"/>
            </w:tcBorders>
            <w:vAlign w:val="center"/>
          </w:tcPr>
          <w:p w:rsidR="006D2393" w:rsidRDefault="006D2393" w:rsidP="008E673E">
            <w:pPr>
              <w:widowControl/>
              <w:ind w:right="420"/>
              <w:rPr>
                <w:rFonts w:ascii="仿宋_GB2312" w:eastAsia="仿宋_GB2312" w:hAnsi="宋体" w:cs="宋体"/>
                <w:kern w:val="0"/>
                <w:szCs w:val="21"/>
              </w:rPr>
            </w:pPr>
            <w:r w:rsidRPr="00D8683C">
              <w:rPr>
                <w:rFonts w:ascii="仿宋_GB2312" w:eastAsia="仿宋_GB2312" w:hAnsi="宋体" w:cs="宋体" w:hint="eastAsia"/>
                <w:kern w:val="0"/>
                <w:szCs w:val="21"/>
              </w:rPr>
              <w:t>财政部门意见</w:t>
            </w:r>
          </w:p>
          <w:p w:rsidR="006D2393" w:rsidRDefault="006D2393" w:rsidP="008E673E">
            <w:pPr>
              <w:widowControl/>
              <w:jc w:val="right"/>
              <w:rPr>
                <w:rFonts w:ascii="仿宋_GB2312" w:eastAsia="仿宋_GB2312" w:hAnsi="宋体" w:cs="宋体"/>
                <w:kern w:val="0"/>
                <w:szCs w:val="21"/>
              </w:rPr>
            </w:pPr>
          </w:p>
          <w:p w:rsidR="006D2393" w:rsidRDefault="006D2393" w:rsidP="008E673E">
            <w:pPr>
              <w:widowControl/>
              <w:jc w:val="right"/>
              <w:rPr>
                <w:rFonts w:ascii="仿宋_GB2312" w:eastAsia="仿宋_GB2312" w:hAnsi="宋体" w:cs="宋体"/>
                <w:kern w:val="0"/>
                <w:szCs w:val="21"/>
              </w:rPr>
            </w:pPr>
          </w:p>
          <w:p w:rsidR="006D2393" w:rsidRDefault="006D2393" w:rsidP="008E673E">
            <w:pPr>
              <w:widowControl/>
              <w:ind w:leftChars="950" w:left="1995" w:firstLineChars="500" w:firstLine="1050"/>
              <w:rPr>
                <w:rFonts w:ascii="仿宋_GB2312" w:eastAsia="仿宋_GB2312" w:hAnsi="宋体" w:cs="宋体"/>
                <w:kern w:val="0"/>
                <w:szCs w:val="21"/>
              </w:rPr>
            </w:pPr>
          </w:p>
          <w:p w:rsidR="006D2393" w:rsidRDefault="006D2393" w:rsidP="008E673E">
            <w:pPr>
              <w:widowControl/>
              <w:ind w:firstLineChars="1350" w:firstLine="2835"/>
              <w:rPr>
                <w:rFonts w:ascii="仿宋_GB2312" w:eastAsia="仿宋_GB2312" w:hAnsi="宋体" w:cs="宋体"/>
                <w:kern w:val="0"/>
                <w:szCs w:val="21"/>
              </w:rPr>
            </w:pPr>
            <w:r>
              <w:rPr>
                <w:rFonts w:ascii="仿宋_GB2312" w:eastAsia="仿宋_GB2312" w:hAnsi="宋体" w:cs="宋体" w:hint="eastAsia"/>
                <w:kern w:val="0"/>
                <w:szCs w:val="21"/>
              </w:rPr>
              <w:t>签字（公章）</w:t>
            </w:r>
          </w:p>
          <w:p w:rsidR="006D2393" w:rsidRPr="00D8683C" w:rsidRDefault="006D2393" w:rsidP="008E673E">
            <w:pPr>
              <w:widowControl/>
              <w:ind w:right="210"/>
              <w:jc w:val="right"/>
              <w:rPr>
                <w:rFonts w:ascii="仿宋_GB2312" w:eastAsia="仿宋_GB2312" w:hAnsi="宋体" w:cs="宋体"/>
                <w:kern w:val="0"/>
                <w:szCs w:val="21"/>
              </w:rPr>
            </w:pPr>
            <w:r w:rsidRPr="00D8683C">
              <w:rPr>
                <w:rFonts w:ascii="仿宋_GB2312" w:eastAsia="仿宋_GB2312" w:hAnsi="宋体" w:cs="宋体" w:hint="eastAsia"/>
                <w:kern w:val="0"/>
                <w:szCs w:val="21"/>
              </w:rPr>
              <w:t>年月日</w:t>
            </w:r>
          </w:p>
        </w:tc>
        <w:tc>
          <w:tcPr>
            <w:tcW w:w="1278" w:type="dxa"/>
            <w:tcBorders>
              <w:top w:val="single" w:sz="4" w:space="0" w:color="auto"/>
              <w:left w:val="single" w:sz="4" w:space="0" w:color="auto"/>
              <w:bottom w:val="single" w:sz="4" w:space="0" w:color="auto"/>
              <w:right w:val="single" w:sz="4" w:space="0" w:color="000000"/>
            </w:tcBorders>
            <w:vAlign w:val="center"/>
          </w:tcPr>
          <w:p w:rsidR="006D2393" w:rsidRDefault="006D2393" w:rsidP="008E673E">
            <w:pPr>
              <w:widowControl/>
              <w:jc w:val="right"/>
              <w:rPr>
                <w:rFonts w:ascii="仿宋_GB2312" w:eastAsia="仿宋_GB2312" w:hAnsi="宋体" w:cs="宋体"/>
                <w:kern w:val="0"/>
                <w:szCs w:val="21"/>
              </w:rPr>
            </w:pPr>
          </w:p>
          <w:p w:rsidR="006D2393" w:rsidRPr="00D8683C" w:rsidRDefault="006D2393" w:rsidP="008E673E">
            <w:pPr>
              <w:ind w:left="222"/>
              <w:jc w:val="right"/>
              <w:rPr>
                <w:rFonts w:ascii="仿宋_GB2312" w:eastAsia="仿宋_GB2312" w:hAnsi="宋体" w:cs="宋体"/>
                <w:kern w:val="0"/>
                <w:szCs w:val="21"/>
              </w:rPr>
            </w:pPr>
          </w:p>
        </w:tc>
      </w:tr>
    </w:tbl>
    <w:p w:rsidR="006D2393" w:rsidRPr="006D2393" w:rsidRDefault="006D2393" w:rsidP="006D2393">
      <w:pPr>
        <w:widowControl/>
        <w:ind w:firstLineChars="50" w:firstLine="105"/>
        <w:jc w:val="left"/>
      </w:pPr>
      <w:r w:rsidRPr="00D8683C">
        <w:rPr>
          <w:rFonts w:ascii="仿宋_GB2312" w:eastAsia="仿宋_GB2312" w:hAnsi="宋体" w:cs="宋体" w:hint="eastAsia"/>
          <w:kern w:val="0"/>
          <w:szCs w:val="21"/>
        </w:rPr>
        <w:t>单位负责人：　　　填报人：　　　　　　联系电话：　填报日期：</w:t>
      </w:r>
    </w:p>
    <w:sectPr w:rsidR="006D2393" w:rsidRPr="006D2393" w:rsidSect="006D2393">
      <w:pgSz w:w="16838" w:h="11906" w:orient="landscape"/>
      <w:pgMar w:top="1701" w:right="1440" w:bottom="1701"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39" w:rsidRDefault="004E4B39" w:rsidP="00BC0917">
      <w:r>
        <w:separator/>
      </w:r>
    </w:p>
  </w:endnote>
  <w:endnote w:type="continuationSeparator" w:id="0">
    <w:p w:rsidR="004E4B39" w:rsidRDefault="004E4B39" w:rsidP="00BC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F2" w:rsidRDefault="00BA5B07" w:rsidP="00C5552E">
    <w:pPr>
      <w:pStyle w:val="a3"/>
      <w:framePr w:wrap="around" w:vAnchor="text" w:hAnchor="margin" w:xAlign="outside" w:y="1"/>
      <w:rPr>
        <w:rStyle w:val="a4"/>
      </w:rPr>
    </w:pPr>
    <w:r>
      <w:rPr>
        <w:rStyle w:val="a4"/>
      </w:rPr>
      <w:fldChar w:fldCharType="begin"/>
    </w:r>
    <w:r w:rsidR="00D35CEE">
      <w:rPr>
        <w:rStyle w:val="a4"/>
      </w:rPr>
      <w:instrText xml:space="preserve">PAGE  </w:instrText>
    </w:r>
    <w:r>
      <w:rPr>
        <w:rStyle w:val="a4"/>
      </w:rPr>
      <w:fldChar w:fldCharType="end"/>
    </w:r>
  </w:p>
  <w:p w:rsidR="00F42DF2" w:rsidRDefault="004E4B39" w:rsidP="00F42DF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F2" w:rsidRDefault="004E4B39" w:rsidP="00F42DF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39" w:rsidRDefault="004E4B39" w:rsidP="00BC0917">
      <w:r>
        <w:separator/>
      </w:r>
    </w:p>
  </w:footnote>
  <w:footnote w:type="continuationSeparator" w:id="0">
    <w:p w:rsidR="004E4B39" w:rsidRDefault="004E4B39" w:rsidP="00BC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CEE"/>
    <w:rsid w:val="001321E4"/>
    <w:rsid w:val="00142935"/>
    <w:rsid w:val="0039214B"/>
    <w:rsid w:val="004E4B39"/>
    <w:rsid w:val="004E6AB8"/>
    <w:rsid w:val="00687E53"/>
    <w:rsid w:val="006D2393"/>
    <w:rsid w:val="00923169"/>
    <w:rsid w:val="00A80C85"/>
    <w:rsid w:val="00B65515"/>
    <w:rsid w:val="00BA2C8B"/>
    <w:rsid w:val="00BA5B07"/>
    <w:rsid w:val="00BC0917"/>
    <w:rsid w:val="00BE6B30"/>
    <w:rsid w:val="00C8600E"/>
    <w:rsid w:val="00D35CEE"/>
    <w:rsid w:val="00FC30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A656A-DD43-415F-9B92-7D16C35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C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5CEE"/>
    <w:pPr>
      <w:tabs>
        <w:tab w:val="center" w:pos="4153"/>
        <w:tab w:val="right" w:pos="8306"/>
      </w:tabs>
      <w:snapToGrid w:val="0"/>
      <w:jc w:val="left"/>
    </w:pPr>
    <w:rPr>
      <w:sz w:val="18"/>
      <w:szCs w:val="18"/>
    </w:rPr>
  </w:style>
  <w:style w:type="character" w:customStyle="1" w:styleId="Char">
    <w:name w:val="页脚 Char"/>
    <w:basedOn w:val="a0"/>
    <w:link w:val="a3"/>
    <w:rsid w:val="00D35CEE"/>
    <w:rPr>
      <w:rFonts w:ascii="Times New Roman" w:eastAsia="宋体" w:hAnsi="Times New Roman" w:cs="Times New Roman"/>
      <w:sz w:val="18"/>
      <w:szCs w:val="18"/>
    </w:rPr>
  </w:style>
  <w:style w:type="character" w:styleId="a4">
    <w:name w:val="page number"/>
    <w:basedOn w:val="a0"/>
    <w:rsid w:val="00D35CEE"/>
  </w:style>
  <w:style w:type="paragraph" w:customStyle="1" w:styleId="p0">
    <w:name w:val="p0"/>
    <w:basedOn w:val="a"/>
    <w:rsid w:val="00D35CEE"/>
    <w:pPr>
      <w:widowControl/>
    </w:pPr>
    <w:rPr>
      <w:kern w:val="0"/>
      <w:szCs w:val="21"/>
    </w:rPr>
  </w:style>
  <w:style w:type="paragraph" w:styleId="a5">
    <w:name w:val="header"/>
    <w:basedOn w:val="a"/>
    <w:link w:val="Char0"/>
    <w:uiPriority w:val="99"/>
    <w:semiHidden/>
    <w:unhideWhenUsed/>
    <w:rsid w:val="00BE6B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E6B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415</Words>
  <Characters>2369</Characters>
  <Application>Microsoft Office Word</Application>
  <DocSecurity>0</DocSecurity>
  <Lines>19</Lines>
  <Paragraphs>5</Paragraphs>
  <ScaleCrop>false</ScaleCrop>
  <Company>微软中国</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文印员</dc:creator>
  <cp:keywords/>
  <dc:description/>
  <cp:lastModifiedBy>bgs</cp:lastModifiedBy>
  <cp:revision>7</cp:revision>
  <dcterms:created xsi:type="dcterms:W3CDTF">2017-07-12T07:34:00Z</dcterms:created>
  <dcterms:modified xsi:type="dcterms:W3CDTF">2017-11-06T07:09:00Z</dcterms:modified>
</cp:coreProperties>
</file>