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D6" w:rsidRDefault="005400D6" w:rsidP="005400D6">
      <w:pPr>
        <w:spacing w:line="560" w:lineRule="exact"/>
        <w:jc w:val="center"/>
        <w:rPr>
          <w:rFonts w:ascii="创艺简标宋" w:eastAsia="创艺简标宋" w:hAnsi="创艺简标宋" w:cs="Times New Roman"/>
          <w:sz w:val="36"/>
          <w:szCs w:val="36"/>
        </w:rPr>
      </w:pPr>
      <w:r>
        <w:rPr>
          <w:rFonts w:ascii="创艺简标宋" w:eastAsia="创艺简标宋" w:hAnsi="创艺简标宋" w:cs="创艺简标宋"/>
          <w:sz w:val="36"/>
          <w:szCs w:val="36"/>
        </w:rPr>
        <w:t>2021</w:t>
      </w:r>
      <w:r>
        <w:rPr>
          <w:rFonts w:ascii="创艺简标宋" w:eastAsia="创艺简标宋" w:hAnsi="创艺简标宋" w:cs="创艺简标宋" w:hint="eastAsia"/>
          <w:sz w:val="36"/>
          <w:szCs w:val="36"/>
        </w:rPr>
        <w:t>年上半年龙湾区一般公共预算收入执行情况</w:t>
      </w:r>
    </w:p>
    <w:p w:rsidR="005400D6" w:rsidRDefault="005400D6" w:rsidP="005400D6">
      <w:pPr>
        <w:spacing w:line="560" w:lineRule="exact"/>
        <w:rPr>
          <w:rFonts w:ascii="仿宋_GB2312" w:eastAsia="仿宋_GB2312" w:hAnsi="仿宋_GB2312" w:cs="Times New Roman"/>
          <w:sz w:val="32"/>
          <w:szCs w:val="32"/>
        </w:rPr>
      </w:pPr>
    </w:p>
    <w:tbl>
      <w:tblPr>
        <w:tblW w:w="8548" w:type="dxa"/>
        <w:tblInd w:w="-13" w:type="dxa"/>
        <w:tblLayout w:type="fixed"/>
        <w:tblCellMar>
          <w:top w:w="15" w:type="dxa"/>
          <w:left w:w="15" w:type="dxa"/>
          <w:bottom w:w="15" w:type="dxa"/>
          <w:right w:w="15" w:type="dxa"/>
        </w:tblCellMar>
        <w:tblLook w:val="00A0" w:firstRow="1" w:lastRow="0" w:firstColumn="1" w:lastColumn="0" w:noHBand="0" w:noVBand="0"/>
      </w:tblPr>
      <w:tblGrid>
        <w:gridCol w:w="2280"/>
        <w:gridCol w:w="824"/>
        <w:gridCol w:w="794"/>
        <w:gridCol w:w="689"/>
        <w:gridCol w:w="781"/>
        <w:gridCol w:w="3180"/>
      </w:tblGrid>
      <w:tr w:rsidR="005400D6" w:rsidTr="00E204AF">
        <w:trPr>
          <w:trHeight w:val="316"/>
        </w:trPr>
        <w:tc>
          <w:tcPr>
            <w:tcW w:w="8548" w:type="dxa"/>
            <w:gridSpan w:val="6"/>
            <w:vAlign w:val="center"/>
          </w:tcPr>
          <w:p w:rsidR="005400D6" w:rsidRDefault="005400D6" w:rsidP="00E204AF">
            <w:pPr>
              <w:widowControl/>
              <w:jc w:val="right"/>
              <w:textAlignment w:val="center"/>
              <w:rPr>
                <w:rFonts w:ascii="仿宋_GB2312" w:eastAsia="仿宋_GB2312" w:hAnsi="宋体" w:cs="Times New Roman"/>
                <w:color w:val="000000"/>
                <w:sz w:val="24"/>
                <w:szCs w:val="24"/>
              </w:rPr>
            </w:pPr>
            <w:r>
              <w:rPr>
                <w:rFonts w:ascii="仿宋_GB2312" w:eastAsia="仿宋_GB2312" w:hAnsi="宋体" w:cs="仿宋_GB2312" w:hint="eastAsia"/>
                <w:color w:val="000000"/>
                <w:kern w:val="0"/>
                <w:sz w:val="24"/>
                <w:szCs w:val="24"/>
              </w:rPr>
              <w:t>单位：万元</w:t>
            </w:r>
          </w:p>
        </w:tc>
      </w:tr>
      <w:tr w:rsidR="005400D6" w:rsidTr="00E204AF">
        <w:trPr>
          <w:trHeight w:val="48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b/>
                <w:bCs/>
                <w:color w:val="000000"/>
                <w:sz w:val="20"/>
                <w:szCs w:val="20"/>
              </w:rPr>
            </w:pPr>
            <w:r>
              <w:rPr>
                <w:rFonts w:ascii="仿宋_GB2312" w:eastAsia="仿宋_GB2312" w:hAnsi="宋体" w:cs="仿宋_GB2312" w:hint="eastAsia"/>
                <w:b/>
                <w:bCs/>
                <w:color w:val="000000"/>
                <w:kern w:val="0"/>
                <w:sz w:val="20"/>
                <w:szCs w:val="20"/>
              </w:rPr>
              <w:t>项</w:t>
            </w:r>
            <w:r>
              <w:rPr>
                <w:rFonts w:ascii="仿宋_GB2312" w:eastAsia="仿宋_GB2312" w:hAnsi="宋体" w:cs="仿宋_GB2312"/>
                <w:b/>
                <w:bCs/>
                <w:color w:val="000000"/>
                <w:kern w:val="0"/>
                <w:sz w:val="20"/>
                <w:szCs w:val="20"/>
              </w:rPr>
              <w:t xml:space="preserve">  </w:t>
            </w:r>
            <w:r>
              <w:rPr>
                <w:rFonts w:ascii="仿宋_GB2312" w:eastAsia="仿宋_GB2312" w:hAnsi="宋体" w:cs="仿宋_GB2312" w:hint="eastAsia"/>
                <w:b/>
                <w:bCs/>
                <w:color w:val="000000"/>
                <w:kern w:val="0"/>
                <w:sz w:val="20"/>
                <w:szCs w:val="20"/>
              </w:rPr>
              <w:t>目</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b/>
                <w:bCs/>
                <w:color w:val="000000"/>
                <w:sz w:val="20"/>
                <w:szCs w:val="20"/>
              </w:rPr>
            </w:pPr>
            <w:r>
              <w:rPr>
                <w:rFonts w:ascii="仿宋_GB2312" w:eastAsia="仿宋_GB2312" w:hAnsi="宋体" w:cs="仿宋_GB2312"/>
                <w:b/>
                <w:bCs/>
                <w:color w:val="000000"/>
                <w:kern w:val="0"/>
                <w:sz w:val="20"/>
                <w:szCs w:val="20"/>
              </w:rPr>
              <w:t>2021</w:t>
            </w:r>
            <w:r>
              <w:rPr>
                <w:rFonts w:ascii="仿宋_GB2312" w:eastAsia="仿宋_GB2312" w:hAnsi="宋体" w:cs="仿宋_GB2312" w:hint="eastAsia"/>
                <w:b/>
                <w:bCs/>
                <w:color w:val="000000"/>
                <w:kern w:val="0"/>
                <w:sz w:val="20"/>
                <w:szCs w:val="20"/>
              </w:rPr>
              <w:t>年预算数</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b/>
                <w:bCs/>
                <w:color w:val="000000"/>
                <w:sz w:val="20"/>
                <w:szCs w:val="20"/>
              </w:rPr>
            </w:pPr>
            <w:r>
              <w:rPr>
                <w:rFonts w:ascii="仿宋_GB2312" w:eastAsia="仿宋_GB2312" w:hAnsi="宋体" w:cs="仿宋_GB2312" w:hint="eastAsia"/>
                <w:b/>
                <w:bCs/>
                <w:color w:val="000000"/>
                <w:kern w:val="0"/>
                <w:sz w:val="20"/>
                <w:szCs w:val="20"/>
              </w:rPr>
              <w:t>上半年执行数</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b/>
                <w:bCs/>
                <w:color w:val="000000"/>
                <w:sz w:val="20"/>
                <w:szCs w:val="20"/>
              </w:rPr>
            </w:pPr>
            <w:r>
              <w:rPr>
                <w:rFonts w:ascii="仿宋_GB2312" w:eastAsia="仿宋_GB2312" w:hAnsi="宋体" w:cs="仿宋_GB2312" w:hint="eastAsia"/>
                <w:b/>
                <w:bCs/>
                <w:color w:val="000000"/>
                <w:kern w:val="0"/>
                <w:sz w:val="20"/>
                <w:szCs w:val="20"/>
              </w:rPr>
              <w:t>完成预算</w:t>
            </w:r>
            <w:r>
              <w:rPr>
                <w:rFonts w:ascii="仿宋_GB2312" w:eastAsia="仿宋_GB2312" w:hAnsi="宋体" w:cs="仿宋_GB2312"/>
                <w:b/>
                <w:bCs/>
                <w:color w:val="000000"/>
                <w:kern w:val="0"/>
                <w:sz w:val="20"/>
                <w:szCs w:val="20"/>
              </w:rPr>
              <w:t>%</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b/>
                <w:bCs/>
                <w:color w:val="000000"/>
                <w:sz w:val="20"/>
                <w:szCs w:val="20"/>
              </w:rPr>
            </w:pPr>
            <w:r>
              <w:rPr>
                <w:rFonts w:ascii="仿宋_GB2312" w:eastAsia="仿宋_GB2312" w:hAnsi="宋体" w:cs="仿宋_GB2312" w:hint="eastAsia"/>
                <w:b/>
                <w:bCs/>
                <w:color w:val="000000"/>
                <w:kern w:val="0"/>
                <w:sz w:val="20"/>
                <w:szCs w:val="20"/>
              </w:rPr>
              <w:t>同比增长</w:t>
            </w:r>
            <w:r>
              <w:rPr>
                <w:rFonts w:ascii="仿宋_GB2312" w:eastAsia="仿宋_GB2312" w:hAnsi="宋体" w:cs="仿宋_GB2312"/>
                <w:b/>
                <w:bCs/>
                <w:color w:val="000000"/>
                <w:kern w:val="0"/>
                <w:sz w:val="20"/>
                <w:szCs w:val="20"/>
              </w:rPr>
              <w:t>+-%</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hint="eastAsia"/>
                <w:b/>
                <w:bCs/>
                <w:color w:val="000000"/>
                <w:kern w:val="0"/>
                <w:sz w:val="20"/>
                <w:szCs w:val="20"/>
              </w:rPr>
              <w:t>备注</w:t>
            </w:r>
          </w:p>
        </w:tc>
      </w:tr>
      <w:tr w:rsidR="005400D6" w:rsidTr="00E204AF">
        <w:trPr>
          <w:trHeight w:val="645"/>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ind w:firstLineChars="100" w:firstLine="201"/>
              <w:textAlignment w:val="center"/>
              <w:rPr>
                <w:rFonts w:ascii="仿宋_GB2312" w:eastAsia="仿宋_GB2312" w:hAnsi="宋体" w:cs="Times New Roman"/>
                <w:b/>
                <w:bCs/>
                <w:color w:val="000000"/>
                <w:sz w:val="20"/>
                <w:szCs w:val="20"/>
              </w:rPr>
            </w:pPr>
            <w:r>
              <w:rPr>
                <w:rFonts w:ascii="仿宋_GB2312" w:eastAsia="仿宋_GB2312" w:hAnsi="宋体" w:cs="仿宋_GB2312" w:hint="eastAsia"/>
                <w:b/>
                <w:bCs/>
                <w:color w:val="000000"/>
                <w:kern w:val="0"/>
                <w:sz w:val="20"/>
                <w:szCs w:val="20"/>
              </w:rPr>
              <w:t>财政总收入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600098</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404031</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67.3%</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33.0%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主要为有缓缴到期入库，以及因疫情原因去年基数较低。</w:t>
            </w:r>
          </w:p>
        </w:tc>
      </w:tr>
      <w:tr w:rsidR="005400D6" w:rsidTr="00E204AF">
        <w:trPr>
          <w:trHeight w:val="59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b/>
                <w:bCs/>
                <w:color w:val="000000"/>
                <w:sz w:val="20"/>
                <w:szCs w:val="20"/>
              </w:rPr>
            </w:pPr>
            <w:r>
              <w:rPr>
                <w:rFonts w:ascii="仿宋_GB2312" w:eastAsia="仿宋_GB2312" w:hAnsi="宋体" w:cs="仿宋_GB2312"/>
                <w:b/>
                <w:bCs/>
                <w:color w:val="000000"/>
                <w:kern w:val="0"/>
                <w:sz w:val="20"/>
                <w:szCs w:val="20"/>
              </w:rPr>
              <w:t xml:space="preserve">  </w:t>
            </w:r>
            <w:r>
              <w:rPr>
                <w:rFonts w:ascii="仿宋_GB2312" w:eastAsia="仿宋_GB2312" w:hAnsi="宋体" w:cs="仿宋_GB2312" w:hint="eastAsia"/>
                <w:b/>
                <w:bCs/>
                <w:color w:val="000000"/>
                <w:kern w:val="0"/>
                <w:sz w:val="20"/>
                <w:szCs w:val="20"/>
              </w:rPr>
              <w:t>一般公共预算收入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360058</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247616</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68.8%</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33.0%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主要为有缓缴到期入库，以及因疫情原因去年基数较低。</w:t>
            </w:r>
          </w:p>
        </w:tc>
      </w:tr>
      <w:tr w:rsidR="005400D6" w:rsidTr="00E204AF">
        <w:trPr>
          <w:trHeight w:val="57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一、税收收入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315000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194870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61.9%</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24.9%</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主要为有缓缴到期入库，以及因疫情原因去年基数较低。</w:t>
            </w:r>
          </w:p>
        </w:tc>
      </w:tr>
      <w:tr w:rsidR="005400D6" w:rsidTr="00E204AF">
        <w:trPr>
          <w:trHeight w:val="78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增值税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125500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81990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65.3%</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49.0%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因疫情原因上年同期大部分企业未开展经营，且享受各项税收优惠政策，基数偏小，本年恢复正常。</w:t>
            </w:r>
          </w:p>
        </w:tc>
      </w:tr>
      <w:tr w:rsidR="005400D6" w:rsidTr="00E204AF">
        <w:trPr>
          <w:trHeight w:val="72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企业所得税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63000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42459</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67.4%</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20.8%</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因疫情原因上年同期大部分企业未开展经营，且享受各项税收优惠政策，基数偏小，本年恢复正常。</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个人所得税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13300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6977</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52.5%</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7.2%</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72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资源税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44</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22</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50.0%</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20.1%</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因疫情原因上年同期大部分企业未开展经营，且享受各项税收优惠政策，基数偏小，本年恢复正常。</w:t>
            </w:r>
          </w:p>
        </w:tc>
      </w:tr>
      <w:tr w:rsidR="005400D6" w:rsidTr="00E204AF">
        <w:trPr>
          <w:trHeight w:val="48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城市维护建设税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19736</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12600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63.8%</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52.6%</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增值税的附加税的一种，变动趋势和增值税一样。</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房产税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18000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11118</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61.8%</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-2.6%</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9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印花税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3494</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46.6%</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34.1%</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房开企业销售新项目、建筑企业承揽新项目，以及因疫情原因去年基数较低。</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城镇土地使用税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2643</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58.7%</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-9.1%</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96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土地增值税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45200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29629</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65.6%</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38.6%</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缓缴入库及因疫情影响上年同期大部分企业未开展经营生成且享受各项税收优惠政策，基数偏小，本年恢复正常。</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车船税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3200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1259</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39.3%</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-22.1%</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由市局负责征收。</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耕地占用税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14080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2453</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17.4%</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-77.5%</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去年同期入库非当期税款，基数偏大。</w:t>
            </w:r>
          </w:p>
        </w:tc>
      </w:tr>
      <w:tr w:rsidR="005400D6" w:rsidTr="00E204AF">
        <w:trPr>
          <w:trHeight w:val="785"/>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环境保护税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480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245</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51.0%</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30.1%</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因疫情原因上年同期大部分企业未开展经营，且享受各项税收优惠政策，基数偏小，本年恢复正常。</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其他税收</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460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-19</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-4.1%</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-562.2%</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个别企业退还往期营业税。</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二、非税收入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45058</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52746</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117.1%</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74.8%</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专项收入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15000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7718</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51.5%</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48.3%</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非税入库。</w:t>
            </w:r>
          </w:p>
        </w:tc>
      </w:tr>
      <w:tr w:rsidR="005400D6" w:rsidTr="00E204AF">
        <w:trPr>
          <w:trHeight w:val="48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lastRenderedPageBreak/>
              <w:t xml:space="preserve">　　行政事业性收费收入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5250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4224</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80.5%</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1.6%</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57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罚没收入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9580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212.9%</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143.0%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主要为其他一般罚没入库。</w:t>
            </w:r>
          </w:p>
        </w:tc>
      </w:tr>
      <w:tr w:rsidR="005400D6" w:rsidTr="00E204AF">
        <w:trPr>
          <w:trHeight w:val="48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国有资源（资产）有偿使用收入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18816</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29732</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158.0%</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87.2%</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主要为土地折抵指标费入库。</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政府住房基金收入</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1492</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1492</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100.0%</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jc w:val="center"/>
              <w:rPr>
                <w:rFonts w:ascii="仿宋_GB2312" w:eastAsia="仿宋_GB2312" w:hAnsi="宋体" w:cs="Times New Roman"/>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left"/>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 xml:space="preserve">  </w:t>
            </w:r>
            <w:r>
              <w:rPr>
                <w:rFonts w:ascii="仿宋_GB2312" w:eastAsia="仿宋_GB2312" w:hAnsi="宋体" w:cs="仿宋_GB2312" w:hint="eastAsia"/>
                <w:color w:val="000000"/>
                <w:kern w:val="0"/>
                <w:sz w:val="20"/>
                <w:szCs w:val="20"/>
              </w:rPr>
              <w:t>上划中央“六税”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240040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156415</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65.2%</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33.0%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r w:rsidR="005400D6" w:rsidTr="00E204AF">
        <w:trPr>
          <w:trHeight w:val="96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w:t>
            </w:r>
            <w:r>
              <w:rPr>
                <w:rFonts w:ascii="仿宋_GB2312" w:eastAsia="仿宋_GB2312" w:hAnsi="宋体" w:cs="仿宋_GB2312"/>
                <w:color w:val="000000"/>
                <w:kern w:val="0"/>
                <w:sz w:val="20"/>
                <w:szCs w:val="20"/>
              </w:rPr>
              <w:t xml:space="preserve"> 1.</w:t>
            </w:r>
            <w:r>
              <w:rPr>
                <w:rFonts w:ascii="仿宋_GB2312" w:eastAsia="仿宋_GB2312" w:hAnsi="宋体" w:cs="仿宋_GB2312" w:hint="eastAsia"/>
                <w:color w:val="000000"/>
                <w:kern w:val="0"/>
                <w:sz w:val="20"/>
                <w:szCs w:val="20"/>
              </w:rPr>
              <w:t>国内消费税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90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270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300.0%</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492.0%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主要为汽车销售企业缴纳豪华汽车消费税，上年同期因为疫情影响，大部分企业未全面恢复生产经营，基数偏小。</w:t>
            </w:r>
          </w:p>
        </w:tc>
      </w:tr>
      <w:tr w:rsidR="005400D6" w:rsidTr="00E204AF">
        <w:trPr>
          <w:trHeight w:val="89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w:t>
            </w:r>
            <w:r>
              <w:rPr>
                <w:rFonts w:ascii="仿宋_GB2312" w:eastAsia="仿宋_GB2312" w:hAnsi="宋体" w:cs="仿宋_GB2312"/>
                <w:color w:val="000000"/>
                <w:kern w:val="0"/>
                <w:sz w:val="20"/>
                <w:szCs w:val="20"/>
              </w:rPr>
              <w:t xml:space="preserve"> 2.</w:t>
            </w:r>
            <w:r>
              <w:rPr>
                <w:rFonts w:ascii="仿宋_GB2312" w:eastAsia="仿宋_GB2312" w:hAnsi="宋体" w:cs="仿宋_GB2312" w:hint="eastAsia"/>
                <w:color w:val="000000"/>
                <w:kern w:val="0"/>
                <w:sz w:val="20"/>
                <w:szCs w:val="20"/>
              </w:rPr>
              <w:t>国内增值税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125500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81990</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65.3%</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49.0%</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因疫情影响上年同期大部分企业未开展生产经营，且享受各项税收优惠政策，基数偏小，今年恢复正常。</w:t>
            </w:r>
          </w:p>
        </w:tc>
      </w:tr>
      <w:tr w:rsidR="005400D6" w:rsidTr="00E204AF">
        <w:trPr>
          <w:trHeight w:val="720"/>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w:t>
            </w:r>
            <w:r>
              <w:rPr>
                <w:rFonts w:ascii="仿宋_GB2312" w:eastAsia="仿宋_GB2312" w:hAnsi="宋体" w:cs="仿宋_GB2312"/>
                <w:color w:val="000000"/>
                <w:kern w:val="0"/>
                <w:sz w:val="20"/>
                <w:szCs w:val="20"/>
              </w:rPr>
              <w:t xml:space="preserve"> 3.</w:t>
            </w:r>
            <w:r>
              <w:rPr>
                <w:rFonts w:ascii="仿宋_GB2312" w:eastAsia="仿宋_GB2312" w:hAnsi="宋体" w:cs="仿宋_GB2312" w:hint="eastAsia"/>
                <w:color w:val="000000"/>
                <w:kern w:val="0"/>
                <w:sz w:val="20"/>
                <w:szCs w:val="20"/>
              </w:rPr>
              <w:t>企业所得税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94500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63689</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67.4%</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20.8%</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textAlignment w:val="center"/>
              <w:rPr>
                <w:rFonts w:ascii="宋体" w:cs="Times New Roman"/>
                <w:color w:val="000000"/>
                <w:sz w:val="20"/>
                <w:szCs w:val="20"/>
              </w:rPr>
            </w:pPr>
            <w:r>
              <w:rPr>
                <w:rFonts w:ascii="宋体" w:hAnsi="宋体" w:cs="宋体" w:hint="eastAsia"/>
                <w:color w:val="000000"/>
                <w:kern w:val="0"/>
                <w:sz w:val="20"/>
                <w:szCs w:val="20"/>
              </w:rPr>
              <w:t>因疫情影响上年同期大部分企业未开展生产经营，且享受各项税收优惠政策，基数偏小，今年恢复正常。</w:t>
            </w:r>
          </w:p>
        </w:tc>
      </w:tr>
      <w:tr w:rsidR="005400D6" w:rsidTr="00E204AF">
        <w:trPr>
          <w:trHeight w:val="286"/>
        </w:trPr>
        <w:tc>
          <w:tcPr>
            <w:tcW w:w="22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hint="eastAsia"/>
                <w:color w:val="000000"/>
                <w:kern w:val="0"/>
                <w:sz w:val="20"/>
                <w:szCs w:val="20"/>
              </w:rPr>
              <w:t xml:space="preserve">　</w:t>
            </w:r>
            <w:r>
              <w:rPr>
                <w:rFonts w:ascii="仿宋_GB2312" w:eastAsia="仿宋_GB2312" w:hAnsi="宋体" w:cs="仿宋_GB2312"/>
                <w:color w:val="000000"/>
                <w:kern w:val="0"/>
                <w:sz w:val="20"/>
                <w:szCs w:val="20"/>
              </w:rPr>
              <w:t xml:space="preserve"> 4.</w:t>
            </w:r>
            <w:r>
              <w:rPr>
                <w:rFonts w:ascii="仿宋_GB2312" w:eastAsia="仿宋_GB2312" w:hAnsi="宋体" w:cs="仿宋_GB2312" w:hint="eastAsia"/>
                <w:color w:val="000000"/>
                <w:kern w:val="0"/>
                <w:sz w:val="20"/>
                <w:szCs w:val="20"/>
              </w:rPr>
              <w:t>个人所得税</w:t>
            </w:r>
          </w:p>
        </w:tc>
        <w:tc>
          <w:tcPr>
            <w:tcW w:w="82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19950</w:t>
            </w:r>
          </w:p>
        </w:tc>
        <w:tc>
          <w:tcPr>
            <w:tcW w:w="794"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10466</w:t>
            </w:r>
          </w:p>
        </w:tc>
        <w:tc>
          <w:tcPr>
            <w:tcW w:w="689"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52.5%</w:t>
            </w:r>
          </w:p>
        </w:tc>
        <w:tc>
          <w:tcPr>
            <w:tcW w:w="781"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jc w:val="center"/>
              <w:textAlignment w:val="center"/>
              <w:rPr>
                <w:rFonts w:ascii="仿宋_GB2312" w:eastAsia="仿宋_GB2312" w:hAnsi="宋体" w:cs="Times New Roman"/>
                <w:color w:val="000000"/>
                <w:sz w:val="20"/>
                <w:szCs w:val="20"/>
              </w:rPr>
            </w:pPr>
            <w:r>
              <w:rPr>
                <w:rFonts w:ascii="仿宋_GB2312" w:eastAsia="仿宋_GB2312" w:hAnsi="宋体" w:cs="仿宋_GB2312"/>
                <w:color w:val="000000"/>
                <w:kern w:val="0"/>
                <w:sz w:val="20"/>
                <w:szCs w:val="20"/>
              </w:rPr>
              <w:t>7.2%</w:t>
            </w:r>
          </w:p>
        </w:tc>
        <w:tc>
          <w:tcPr>
            <w:tcW w:w="3180" w:type="dxa"/>
            <w:tcBorders>
              <w:top w:val="single" w:sz="4" w:space="0" w:color="000000"/>
              <w:left w:val="single" w:sz="4" w:space="0" w:color="000000"/>
              <w:bottom w:val="single" w:sz="4" w:space="0" w:color="000000"/>
              <w:right w:val="single" w:sz="4" w:space="0" w:color="000000"/>
            </w:tcBorders>
            <w:vAlign w:val="center"/>
          </w:tcPr>
          <w:p w:rsidR="005400D6" w:rsidRDefault="005400D6" w:rsidP="00E204AF">
            <w:pPr>
              <w:widowControl/>
              <w:spacing w:line="240" w:lineRule="exact"/>
              <w:jc w:val="left"/>
              <w:rPr>
                <w:rFonts w:ascii="宋体" w:cs="Times New Roman"/>
                <w:color w:val="000000"/>
                <w:sz w:val="20"/>
                <w:szCs w:val="20"/>
              </w:rPr>
            </w:pPr>
          </w:p>
        </w:tc>
      </w:tr>
    </w:tbl>
    <w:p w:rsidR="005400D6" w:rsidRDefault="005400D6" w:rsidP="005400D6">
      <w:pPr>
        <w:pStyle w:val="a0"/>
        <w:rPr>
          <w:rFonts w:cs="Times New Roman"/>
        </w:rPr>
        <w:sectPr w:rsidR="005400D6">
          <w:footerReference w:type="default" r:id="rId4"/>
          <w:pgSz w:w="11906" w:h="16838"/>
          <w:pgMar w:top="2098" w:right="1474" w:bottom="1984" w:left="1587" w:header="851" w:footer="1417" w:gutter="0"/>
          <w:pgNumType w:fmt="numberInDash"/>
          <w:cols w:space="0"/>
          <w:docGrid w:type="lines" w:linePitch="312"/>
        </w:sectPr>
      </w:pPr>
    </w:p>
    <w:p w:rsidR="001A39E4" w:rsidRDefault="001A39E4">
      <w:bookmarkStart w:id="0" w:name="_GoBack"/>
      <w:bookmarkEnd w:id="0"/>
    </w:p>
    <w:sectPr w:rsidR="001A39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6A" w:rsidRDefault="005400D6">
    <w:pPr>
      <w:pStyle w:val="a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2750" cy="21907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7C6A" w:rsidRDefault="005400D6">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noProof/>
                              <w:sz w:val="30"/>
                              <w:szCs w:val="30"/>
                            </w:rPr>
                            <w:t>3</w:t>
                          </w:r>
                          <w:r>
                            <w:rPr>
                              <w:rFonts w:ascii="Times New Roman" w:hAnsi="Times New Roman" w:cs="Times New Roman"/>
                              <w:sz w:val="30"/>
                              <w:szCs w:val="3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2.5pt;height:17.2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" filled="f" stroked="f" strokeweight=".5pt">
              <v:textbox style="mso-fit-shape-to-text:t" inset="0,0,0,0">
                <w:txbxContent>
                  <w:p w:rsidR="00837C6A" w:rsidRDefault="005400D6">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noProof/>
                        <w:sz w:val="30"/>
                        <w:szCs w:val="30"/>
                      </w:rPr>
                      <w:t>3</w:t>
                    </w:r>
                    <w:r>
                      <w:rPr>
                        <w:rFonts w:ascii="Times New Roman" w:hAnsi="Times New Roman" w:cs="Times New Roman"/>
                        <w:sz w:val="30"/>
                        <w:szCs w:val="30"/>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11"/>
    <w:rsid w:val="001A39E4"/>
    <w:rsid w:val="005400D6"/>
    <w:rsid w:val="0062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29372A-4548-47D6-81C0-42E8391A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400D6"/>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rsid w:val="005400D6"/>
    <w:pPr>
      <w:snapToGrid w:val="0"/>
      <w:jc w:val="left"/>
    </w:pPr>
  </w:style>
  <w:style w:type="character" w:customStyle="1" w:styleId="Char">
    <w:name w:val="尾注文本 Char"/>
    <w:basedOn w:val="a1"/>
    <w:link w:val="a0"/>
    <w:uiPriority w:val="99"/>
    <w:semiHidden/>
    <w:rsid w:val="005400D6"/>
    <w:rPr>
      <w:rFonts w:ascii="Calibri" w:eastAsia="宋体" w:hAnsi="Calibri" w:cs="Calibri"/>
      <w:szCs w:val="21"/>
    </w:rPr>
  </w:style>
  <w:style w:type="paragraph" w:styleId="a4">
    <w:name w:val="footer"/>
    <w:basedOn w:val="a"/>
    <w:link w:val="Char0"/>
    <w:uiPriority w:val="99"/>
    <w:rsid w:val="005400D6"/>
    <w:pPr>
      <w:tabs>
        <w:tab w:val="center" w:pos="4153"/>
        <w:tab w:val="right" w:pos="8306"/>
      </w:tabs>
      <w:snapToGrid w:val="0"/>
      <w:jc w:val="left"/>
    </w:pPr>
    <w:rPr>
      <w:sz w:val="18"/>
      <w:szCs w:val="18"/>
    </w:rPr>
  </w:style>
  <w:style w:type="character" w:customStyle="1" w:styleId="Char0">
    <w:name w:val="页脚 Char"/>
    <w:basedOn w:val="a1"/>
    <w:link w:val="a4"/>
    <w:uiPriority w:val="99"/>
    <w:rsid w:val="005400D6"/>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区财政局（国资办）</dc:creator>
  <cp:keywords/>
  <dc:description/>
  <cp:lastModifiedBy>区财政局（国资办）</cp:lastModifiedBy>
  <cp:revision>2</cp:revision>
  <dcterms:created xsi:type="dcterms:W3CDTF">2021-09-01T10:01:00Z</dcterms:created>
  <dcterms:modified xsi:type="dcterms:W3CDTF">2021-09-01T10:01:00Z</dcterms:modified>
</cp:coreProperties>
</file>