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C7" w:rsidRDefault="00AD76C7" w:rsidP="00AD76C7">
      <w:pPr>
        <w:spacing w:line="560" w:lineRule="exact"/>
        <w:jc w:val="center"/>
        <w:rPr>
          <w:rFonts w:ascii="创艺简标宋" w:eastAsia="创艺简标宋" w:hAnsi="创艺简标宋" w:cs="Times New Roman"/>
          <w:sz w:val="36"/>
          <w:szCs w:val="36"/>
        </w:rPr>
      </w:pPr>
      <w:r>
        <w:rPr>
          <w:rFonts w:ascii="创艺简标宋" w:eastAsia="创艺简标宋" w:hAnsi="创艺简标宋" w:cs="创艺简标宋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年龙湾区本级一般公共预算支出执行情况</w:t>
      </w:r>
    </w:p>
    <w:tbl>
      <w:tblPr>
        <w:tblW w:w="87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"/>
        <w:gridCol w:w="910"/>
        <w:gridCol w:w="3358"/>
        <w:gridCol w:w="1064"/>
        <w:gridCol w:w="974"/>
        <w:gridCol w:w="690"/>
        <w:gridCol w:w="750"/>
        <w:gridCol w:w="974"/>
      </w:tblGrid>
      <w:tr w:rsidR="00AD76C7" w:rsidTr="00E204AF">
        <w:trPr>
          <w:trHeight w:val="286"/>
          <w:jc w:val="center"/>
        </w:trPr>
        <w:tc>
          <w:tcPr>
            <w:tcW w:w="8726" w:type="dxa"/>
            <w:gridSpan w:val="8"/>
            <w:vAlign w:val="center"/>
          </w:tcPr>
          <w:p w:rsidR="00AD76C7" w:rsidRDefault="00AD76C7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单位</w:t>
            </w:r>
            <w:r>
              <w:rPr>
                <w:rFonts w:ascii="仿宋_GB2312" w:eastAsia="仿宋_GB2312" w:hAnsi="仿宋_GB2312" w:cs="仿宋_GB2312"/>
                <w:kern w:val="0"/>
              </w:rPr>
              <w:t>: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万元</w:t>
            </w: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科目编码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科目名称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年预算数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上半年执行数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>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>+-%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备注</w:t>
            </w: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lef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一般公共预算支出合计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428191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226486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一般公共服务支出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41210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24.3%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人大事务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68.1%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人大会议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人大监督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人大代表履职能力提升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代表工作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81.4%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其他人大事务支出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政协事务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64.3%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2010202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2010204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政协会议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2010205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委员视察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2010250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政府办公厅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室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>)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及相关机构事务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31676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17513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2010301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2010302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1533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101.6%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2010303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机关服务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2010305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专项业务活动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2010308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信访事务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2010350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12800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8162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63.8%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540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2010399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其他政府办公厅</w:t>
            </w:r>
            <w:r>
              <w:rPr>
                <w:rFonts w:ascii="仿宋_GB2312" w:eastAsia="仿宋_GB2312" w:hAnsi="仿宋_GB2312" w:cs="仿宋_GB2312"/>
                <w:kern w:val="0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室</w:t>
            </w:r>
            <w:r>
              <w:rPr>
                <w:rFonts w:ascii="仿宋_GB2312" w:eastAsia="仿宋_GB2312" w:hAnsi="仿宋_GB2312" w:cs="仿宋_GB2312"/>
                <w:kern w:val="0"/>
              </w:rPr>
              <w:t>)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及相关机构事务支出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发展与改革事务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87.3%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2010401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2010404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战略规划与实施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2010405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日常经济运行调节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2010450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59.3%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2010499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其他发展与改革事务支出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统计信息事务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186.1%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2010501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2010502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2010550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59.0%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财政事务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2374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2010601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2010602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1074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2010650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税收事务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125.6%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2010701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3936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94.9%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2010702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1485.4%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审计事务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67.9%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2010801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2010804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审计业务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2010805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审计管理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2010806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信息化建设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2010850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人力资源事务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-100.0%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2011008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引进人才费用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纪检监察事务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3143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32.6%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2011150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76.2%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商贸事务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2011301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2011302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2011304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对外贸易管理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2011307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国内贸易管理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2011350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67.9%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民族事务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2012399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其他民族事务支出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港澳台事务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100.0%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2012504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港澳事务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群众团体事务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1543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-11.5%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2012901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2012902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2012906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工会事务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2012950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76.2%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2012999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其他群众团体事务支出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党委办公厅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室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>)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及相关机构事务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2013102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818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2013105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专项业务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676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2013150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540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其他党委办公厅</w:t>
            </w:r>
            <w:r>
              <w:rPr>
                <w:rFonts w:ascii="仿宋_GB2312" w:eastAsia="仿宋_GB2312" w:hAnsi="仿宋_GB2312" w:cs="仿宋_GB2312"/>
                <w:kern w:val="0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室</w:t>
            </w:r>
            <w:r>
              <w:rPr>
                <w:rFonts w:ascii="仿宋_GB2312" w:eastAsia="仿宋_GB2312" w:hAnsi="仿宋_GB2312" w:cs="仿宋_GB2312"/>
                <w:kern w:val="0"/>
              </w:rPr>
              <w:t>)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及相关机构事务支出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组织事务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2697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2013202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2013250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2013299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其他组织事务支出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1382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宣传事务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2013301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2013302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2013304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宣传管理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2013350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71.1%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2013399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其他宣传事务支出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统战事务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1453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2013401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2013404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宗教事务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2013450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2013499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其他统战事务支出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其他共产党事务支出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2013699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其他共产党事务支出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市场监督管理事务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7588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25.2%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lef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2013801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2013805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市场秩序执法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2013808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信息化建设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2013815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质量安全监管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2013850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2013899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其他市场监督管理事务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1667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其他一般公共服务支出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2019999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其他一般公共服务支出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国防支出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公共安全支出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24035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武装警察部队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公安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16217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检察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法院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司法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20499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其他公共安全支出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-30.4%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教育支出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102000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53015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教育管理事务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4673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61.9%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其他教育管理事务支出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普通教育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86650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45892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学前教育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2050202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小学教育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43500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24754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2050203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初中教育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14263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2050204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高中教育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2050299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其他普通教育支出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职业教育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2050302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中等职业教育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特殊教育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2050799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其他特殊教育支出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教育费附加安排的支出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2050999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其他教育费附加安排的支出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其他教育支出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2861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-62.6%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其他教育支出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2861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科学技术支出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33371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15277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-3.1%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科学技术管理事务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71.2%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130.8%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61.5%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1538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99.5%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其他科学技术管理事务支出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642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基础研究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2060204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实验室及相关设施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技术研究与开发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28047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10495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-20.4%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2060499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其他技术研究与开发支出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28047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10495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科学技术普及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61.6%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-14.9%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2060701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机构运行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2060702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科普活动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其他科学技术支出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2069999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其他科学技术支出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文化旅游体育与传媒支出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文化和旅游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5702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37.2%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1133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71.4%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2070104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图书馆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2070108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文化活动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2070109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群众文化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2070110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文化和旅游交流与合作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2070111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文化创作与保护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其他文化和旅游支出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3043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文物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2070204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文物保护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2070205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博物馆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体育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2070304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运动项目管理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2070305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体育竞赛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2070306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体育训练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2070309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体育交流与合作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2070399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其他体育支出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广播电视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2070899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其他广播电视支出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其他文化体育与传媒支出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-72.4%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2079999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其他文化旅游体育与传媒支出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社会保障和就业支出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12658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-0.9%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人力资源和社会保障管理事务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2883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93.2%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1849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73.0%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就业管理事务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社会保险经办机构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公共就业服务和职业技能鉴定机构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2080112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劳动人事争议调解仲裁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2080116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引进人才费用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其他人力资源和社会保障管理事务支出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773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民政管理事务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30.2%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61.9%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2080206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社会组织管理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2080207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行政区划和地名管理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2080208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基层政权建设和社区治理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2080299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其他民政管理事务支出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67.6%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行政事业单位离退休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9329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-4.3%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2080505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机关事业单位基本养老保险缴费支出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2080506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机关事业单位职业年金缴费支出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44.3%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就业补助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147.5%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3271.4%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2080799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其他就业补助支出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147.5%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抚恤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2080801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死亡抚恤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2080805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义务兵优待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2080899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其他优抚支出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1284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退役安置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82.4%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2080901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退役士兵安置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2080904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退役士兵管理教育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2080999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其他退役安置支出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社会福利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2081001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儿童福利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2081002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老年福利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2081004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殡葬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2081005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社会福利事业单位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trHeight w:val="286"/>
          <w:jc w:val="center"/>
        </w:trPr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2081099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其他社会福利支出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残疾人事业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-8.6%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2081104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残疾人康复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2081105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残疾人就业和扶贫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2081107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残疾人生活和护理补贴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其他残疾人事业支出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77.6%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红十字事业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4825.0%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2081601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2081602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2081699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其他红十字事业支出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最低生活保障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2081901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城市最低生活保障金支出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20820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临时救助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-46.8%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2082001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临时救助支出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20828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退役军人管理事务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2082801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94.4%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2082802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2082804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拥军优属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2082850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73.7%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2082899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其他退役军人事务管理支出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85.0%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其他社会保障和就业支出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-92.4%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其他社会保障和就业支出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卫生健康支出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25056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卫生健康管理事务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其他卫生健康管理事务支出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73.9%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公立医院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4402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-14.5%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综合医院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4402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基层医疗卫生机构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5408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-61.4%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2100301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城市社区卫生机构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5408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公共卫生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-12.2%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2100401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疾病预防控制机构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61.4%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2100402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卫生监督机构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2100403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妇幼保健机构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932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2100408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基本公共卫生服务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2100499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其他公共卫生支出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231.4%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中医药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2100601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中医</w:t>
            </w:r>
            <w:r>
              <w:rPr>
                <w:rFonts w:ascii="仿宋_GB2312" w:eastAsia="仿宋_GB2312" w:hAnsi="仿宋_GB2312" w:cs="仿宋_GB2312"/>
                <w:kern w:val="0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民族医</w:t>
            </w:r>
            <w:r>
              <w:rPr>
                <w:rFonts w:ascii="仿宋_GB2312" w:eastAsia="仿宋_GB2312" w:hAnsi="仿宋_GB2312" w:cs="仿宋_GB2312"/>
                <w:kern w:val="0"/>
              </w:rPr>
              <w:t>)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药专项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计划生育事务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106.7%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2100717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计划生育服务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行政事业单位医疗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4642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行政单位医疗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事业单位医疗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财政对基本医疗保险基金的补助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13793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11607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84.2%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93.5%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2101202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财政对城乡居民基本医疗保险基金的补助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13793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11607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84.2%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医疗救助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2101301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城乡医疗救助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医疗保障管理事务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-66.7%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2101506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医疗保障经办事务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老龄卫生健康事务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2101601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老龄卫生健康事务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其他卫生健康支出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1863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949.3%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2109999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其他卫生健康支出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1863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节能环保支出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135.5%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303.6%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环境保护管理事务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68.4%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16.2%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2110102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其他环境保护管理事务支出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环境监测与监察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-15.8%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2110203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建设项目环评审查与监督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2110299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其他环境监测与监察支出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污染防治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863.3%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4603.8%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2110302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水体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852.0%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2110399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其他污染防治支出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自然生态保护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-68.6%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right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2110401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生态保护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能源节约利用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2111001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能源节约利用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>21111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污染减排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181.6%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888.9%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2111103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减排专项支出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2111199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其他污染减排支出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其他节能环保支出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-37.0%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2119999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其他节能环保支出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城乡社区支出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42198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17516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-22.9%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城乡社区管理事务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8837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2120104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城管执法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其他城乡社区管理事务支出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81.5%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城乡社区规划与管理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城乡社区规划与管理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城乡社区公共设施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-89.4%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2120303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小城镇基础设施建设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城乡社区环境卫生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16582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-76.3%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2120501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城乡社区环境卫生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16582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其他城乡社区支出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16389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170.6%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2129999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其他城乡社区支出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16389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农林水支出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-36.3%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农业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6554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-17.5%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107.0%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机关服务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76.7%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科技转化与推广服务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病虫害控制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2130109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农产品质量安全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执法监管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90.9%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2130119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防灾救灾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2130122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农业生产发展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2130124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农村合作经济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2130125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农产品加工与促销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2130126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农村社会事业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2130135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农业资源保护修复与利用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2130148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成品油价格改革对渔业的补贴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469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其他农业农村支出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林业和草原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-73.3%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2130207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森林资源管理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水利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-46.7%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水利工程建设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水利工程运行与维护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水利前期工作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2130311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水资源节约管理与保护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2130313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水文测报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2130315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抗旱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2130322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水利安全监督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2130334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水利建设征地及移民支出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1000.0%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2130399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其他水利支出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扶贫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-83.7%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2130599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其他扶贫支出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农村综合改革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-40.6%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2130701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对村级一事一议的补助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2130705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对村民委员会和村党支部的补助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交通运输支出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6316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157.9%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21401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公路水路运输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6316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157.9%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208.9%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2140101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2140102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2140106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公路养护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2140110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公路和运输安全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2140199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其他公路水路运输支出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3477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173.9%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资源勘探信息等支出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63.3%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233.5%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工业和信息产业监管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14.4%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-23.9%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2150501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2150502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2150509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工业和信息产业战略研究与标准制定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2150510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工业和信息产业支持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3324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2150517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产业发展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2150550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支持中小企业发展和管理支出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474.0%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2343.3%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2150805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中小企业发展专项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474.0%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商业服务业等支出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123.0%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287.7%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21602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商业流通事务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28.2%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2160201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67.6%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2160202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2160299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其他商业流通事务支出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21606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涉外发展服务支出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177.2%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991.5%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2160699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其他涉外发展服务支出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177.2%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金融支出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21701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金融部门行政支出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2170102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21799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其他金融支出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2179999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其他金融支出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援助其他地区支出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192.9%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97.9%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192.9%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97.9%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自然资源海洋气象等支出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-93.4%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22001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自然资源事务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-93.7%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2200102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一般行政管理事务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2200109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自然资源调查与确权登记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22099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其他自然资源海洋气象等支出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-20.0%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2209999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其他自然资源海洋气象等支出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住房保障支出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22.2%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保障性安居工程支出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649.6%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227.1%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2210103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棚户区改造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2210107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保障性住房租金补贴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109.0%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2210108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老旧小区改造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22102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住房改革支出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-26.8%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2210201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住房公积金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灾害防治及应急管理支出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64.1%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lastRenderedPageBreak/>
              <w:t>22401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应急管理事务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1766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41.4%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2240101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行政运行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2240104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灾害风险防治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15.1%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2240106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安全监管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2240108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应急救援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2240150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事业运行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82.5%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2240199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其他应急管理支出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130.5%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消防事务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65.7%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112.2%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2240204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消防应急救援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2240299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其他消防事务支出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78.3%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森林消防事务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-4.3%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2240399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其他森林消防事务支出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48.9%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自然灾害救灾及恢复重建支出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0.2%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-97.8%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2240702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地方自然灾害生活补助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2240704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自然灾害灾后重建补助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2240799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其他自然灾害救灾及恢复重建支出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227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预备费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322.1%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其他支出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35.8%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322.1%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2299999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其他支出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债务付息支出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23203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地方政府一般债务付息支出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2320301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地方政府一般债券付息支出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11.5%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</w:rPr>
              <w:t>债务发行费用支出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28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23303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地方政府一般债务发行费用支出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AD76C7" w:rsidTr="00E204AF">
        <w:trPr>
          <w:gridBefore w:val="1"/>
          <w:wBefore w:w="6" w:type="dxa"/>
          <w:trHeight w:val="529"/>
          <w:jc w:val="center"/>
        </w:trPr>
        <w:tc>
          <w:tcPr>
            <w:tcW w:w="8720" w:type="dxa"/>
            <w:gridSpan w:val="7"/>
            <w:vAlign w:val="center"/>
          </w:tcPr>
          <w:p w:rsidR="00AD76C7" w:rsidRDefault="00AD76C7" w:rsidP="00E204AF">
            <w:pPr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注：因龙湾区下属</w:t>
            </w:r>
            <w:r>
              <w:rPr>
                <w:rFonts w:ascii="仿宋_GB2312" w:eastAsia="仿宋_GB2312" w:hAnsi="仿宋_GB2312" w:cs="仿宋_GB2312"/>
                <w:kern w:val="0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个街道，无乡镇，所有支出均列为本级支出，无转移到下级支出</w:t>
            </w:r>
          </w:p>
        </w:tc>
      </w:tr>
    </w:tbl>
    <w:p w:rsidR="001A39E4" w:rsidRPr="00AD76C7" w:rsidRDefault="001A39E4">
      <w:bookmarkStart w:id="0" w:name="_GoBack"/>
      <w:bookmarkEnd w:id="0"/>
    </w:p>
    <w:sectPr w:rsidR="001A39E4" w:rsidRPr="00AD7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684D"/>
    <w:multiLevelType w:val="singleLevel"/>
    <w:tmpl w:val="5F2B684D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5F2B68B0"/>
    <w:multiLevelType w:val="singleLevel"/>
    <w:tmpl w:val="5F2B68B0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D"/>
    <w:rsid w:val="000039AD"/>
    <w:rsid w:val="001A39E4"/>
    <w:rsid w:val="00A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EB0C0-F8FA-446A-A790-B7FC7E7E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D76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rsid w:val="00AD76C7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AD76C7"/>
    <w:rPr>
      <w:rFonts w:ascii="Calibri" w:eastAsia="宋体" w:hAnsi="Calibri" w:cs="Calibri"/>
      <w:szCs w:val="21"/>
    </w:rPr>
  </w:style>
  <w:style w:type="paragraph" w:styleId="a4">
    <w:name w:val="Body Text"/>
    <w:basedOn w:val="a"/>
    <w:next w:val="a5"/>
    <w:link w:val="Char0"/>
    <w:uiPriority w:val="99"/>
    <w:rsid w:val="00AD76C7"/>
    <w:pPr>
      <w:spacing w:after="120"/>
    </w:pPr>
  </w:style>
  <w:style w:type="character" w:customStyle="1" w:styleId="Char0">
    <w:name w:val="正文文本 Char"/>
    <w:basedOn w:val="a1"/>
    <w:link w:val="a4"/>
    <w:uiPriority w:val="99"/>
    <w:rsid w:val="00AD76C7"/>
    <w:rPr>
      <w:rFonts w:ascii="Calibri" w:eastAsia="宋体" w:hAnsi="Calibri" w:cs="Calibri"/>
      <w:szCs w:val="21"/>
    </w:rPr>
  </w:style>
  <w:style w:type="paragraph" w:styleId="a5">
    <w:name w:val="Body Text First Indent"/>
    <w:basedOn w:val="a4"/>
    <w:link w:val="Char1"/>
    <w:uiPriority w:val="99"/>
    <w:rsid w:val="00AD76C7"/>
    <w:pPr>
      <w:spacing w:before="100" w:beforeAutospacing="1" w:after="0" w:line="500" w:lineRule="exact"/>
      <w:ind w:firstLine="420"/>
      <w:jc w:val="center"/>
    </w:pPr>
    <w:rPr>
      <w:rFonts w:eastAsia="文星简小标宋"/>
      <w:sz w:val="28"/>
      <w:szCs w:val="28"/>
    </w:rPr>
  </w:style>
  <w:style w:type="character" w:customStyle="1" w:styleId="Char1">
    <w:name w:val="正文首行缩进 Char"/>
    <w:basedOn w:val="Char0"/>
    <w:link w:val="a5"/>
    <w:uiPriority w:val="99"/>
    <w:rsid w:val="00AD76C7"/>
    <w:rPr>
      <w:rFonts w:ascii="Calibri" w:eastAsia="文星简小标宋" w:hAnsi="Calibri" w:cs="Calibri"/>
      <w:sz w:val="28"/>
      <w:szCs w:val="28"/>
    </w:rPr>
  </w:style>
  <w:style w:type="paragraph" w:styleId="a6">
    <w:name w:val="Balloon Text"/>
    <w:basedOn w:val="a"/>
    <w:link w:val="Char2"/>
    <w:uiPriority w:val="99"/>
    <w:semiHidden/>
    <w:rsid w:val="00AD76C7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AD76C7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3"/>
    <w:uiPriority w:val="99"/>
    <w:rsid w:val="00AD7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rsid w:val="00AD76C7"/>
    <w:rPr>
      <w:rFonts w:ascii="Calibri" w:eastAsia="宋体" w:hAnsi="Calibri" w:cs="Calibri"/>
      <w:sz w:val="18"/>
      <w:szCs w:val="18"/>
    </w:rPr>
  </w:style>
  <w:style w:type="paragraph" w:styleId="a8">
    <w:name w:val="header"/>
    <w:basedOn w:val="a"/>
    <w:link w:val="Char4"/>
    <w:uiPriority w:val="99"/>
    <w:rsid w:val="00AD76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眉 Char"/>
    <w:basedOn w:val="a1"/>
    <w:link w:val="a8"/>
    <w:uiPriority w:val="99"/>
    <w:rsid w:val="00AD76C7"/>
    <w:rPr>
      <w:rFonts w:ascii="Calibri" w:eastAsia="宋体" w:hAnsi="Calibri" w:cs="Calibri"/>
      <w:sz w:val="18"/>
      <w:szCs w:val="18"/>
    </w:rPr>
  </w:style>
  <w:style w:type="paragraph" w:styleId="a9">
    <w:name w:val="Normal (Web)"/>
    <w:basedOn w:val="a"/>
    <w:uiPriority w:val="99"/>
    <w:rsid w:val="00AD76C7"/>
    <w:pPr>
      <w:jc w:val="left"/>
    </w:pPr>
    <w:rPr>
      <w:kern w:val="0"/>
      <w:sz w:val="24"/>
      <w:szCs w:val="24"/>
    </w:rPr>
  </w:style>
  <w:style w:type="character" w:customStyle="1" w:styleId="font51">
    <w:name w:val="font51"/>
    <w:basedOn w:val="a1"/>
    <w:uiPriority w:val="99"/>
    <w:rsid w:val="00AD76C7"/>
    <w:rPr>
      <w:rFonts w:ascii="Cambria" w:hAnsi="Cambria" w:cs="Cambria"/>
      <w:color w:val="000000"/>
      <w:sz w:val="44"/>
      <w:szCs w:val="44"/>
      <w:u w:val="none"/>
    </w:rPr>
  </w:style>
  <w:style w:type="character" w:customStyle="1" w:styleId="font01">
    <w:name w:val="font01"/>
    <w:basedOn w:val="a1"/>
    <w:uiPriority w:val="99"/>
    <w:rsid w:val="00AD76C7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font41">
    <w:name w:val="font41"/>
    <w:basedOn w:val="a1"/>
    <w:uiPriority w:val="99"/>
    <w:rsid w:val="00AD76C7"/>
    <w:rPr>
      <w:rFonts w:ascii="Cambria" w:hAnsi="Cambria" w:cs="Cambria"/>
      <w:color w:val="000000"/>
      <w:sz w:val="44"/>
      <w:szCs w:val="44"/>
      <w:u w:val="none"/>
    </w:rPr>
  </w:style>
  <w:style w:type="character" w:customStyle="1" w:styleId="font11">
    <w:name w:val="font11"/>
    <w:basedOn w:val="a1"/>
    <w:uiPriority w:val="99"/>
    <w:rsid w:val="00AD76C7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61">
    <w:name w:val="font61"/>
    <w:basedOn w:val="a1"/>
    <w:uiPriority w:val="99"/>
    <w:rsid w:val="00AD76C7"/>
    <w:rPr>
      <w:rFonts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font71">
    <w:name w:val="font71"/>
    <w:basedOn w:val="a1"/>
    <w:uiPriority w:val="99"/>
    <w:rsid w:val="00AD76C7"/>
    <w:rPr>
      <w:rFonts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1"/>
    <w:uiPriority w:val="99"/>
    <w:rsid w:val="00AD76C7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21">
    <w:name w:val="font21"/>
    <w:basedOn w:val="a1"/>
    <w:uiPriority w:val="99"/>
    <w:rsid w:val="00AD76C7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81">
    <w:name w:val="font81"/>
    <w:basedOn w:val="a1"/>
    <w:uiPriority w:val="99"/>
    <w:rsid w:val="00AD76C7"/>
    <w:rPr>
      <w:rFonts w:ascii="仿宋_GB2312" w:eastAsia="仿宋_GB2312" w:cs="仿宋_GB2312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2187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2021-09-01T10:02:00Z</dcterms:created>
  <dcterms:modified xsi:type="dcterms:W3CDTF">2021-09-01T10:02:00Z</dcterms:modified>
</cp:coreProperties>
</file>