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-313" w:rightChars="-149"/>
        <w:jc w:val="center"/>
        <w:rPr>
          <w:rFonts w:hint="eastAsia" w:ascii="创艺简标宋" w:hAnsi="创艺简标宋" w:eastAsia="创艺简标宋" w:cs="创艺简标宋"/>
          <w:color w:val="000000"/>
          <w:spacing w:val="-6"/>
          <w:sz w:val="44"/>
          <w:szCs w:val="44"/>
        </w:rPr>
      </w:pPr>
      <w:r>
        <w:rPr>
          <w:rFonts w:hint="eastAsia" w:ascii="创艺简标宋" w:hAnsi="创艺简标宋" w:eastAsia="创艺简标宋" w:cs="创艺简标宋"/>
          <w:color w:val="000000"/>
          <w:spacing w:val="-6"/>
          <w:sz w:val="44"/>
          <w:szCs w:val="44"/>
        </w:rPr>
        <w:t>关于</w:t>
      </w:r>
      <w:r>
        <w:rPr>
          <w:rFonts w:ascii="创艺简标宋" w:hAnsi="创艺简标宋" w:eastAsia="创艺简标宋" w:cs="创艺简标宋"/>
          <w:color w:val="000000"/>
          <w:spacing w:val="-6"/>
          <w:sz w:val="44"/>
          <w:szCs w:val="44"/>
        </w:rPr>
        <w:t>2019</w:t>
      </w:r>
      <w:r>
        <w:rPr>
          <w:rFonts w:hint="eastAsia" w:ascii="创艺简标宋" w:hAnsi="创艺简标宋" w:eastAsia="创艺简标宋" w:cs="创艺简标宋"/>
          <w:color w:val="000000"/>
          <w:spacing w:val="-6"/>
          <w:sz w:val="44"/>
          <w:szCs w:val="44"/>
        </w:rPr>
        <w:t>年上半年区本级预算执行情况的报告</w:t>
      </w:r>
    </w:p>
    <w:p>
      <w:pPr>
        <w:spacing w:line="560" w:lineRule="exact"/>
        <w:ind w:right="-313" w:rightChars="-149"/>
        <w:jc w:val="center"/>
        <w:rPr>
          <w:rFonts w:hint="eastAsia" w:ascii="楷体_GB2312" w:hAnsi="楷体_GB2312" w:eastAsia="楷体_GB2312" w:cs="楷体_GB2312"/>
          <w:b/>
          <w:bCs/>
          <w:color w:val="000000"/>
          <w:spacing w:val="0"/>
          <w:sz w:val="32"/>
          <w:szCs w:val="32"/>
        </w:rPr>
      </w:pPr>
    </w:p>
    <w:p>
      <w:pPr>
        <w:spacing w:line="540" w:lineRule="exact"/>
        <w:jc w:val="center"/>
        <w:rPr>
          <w:rFonts w:hint="eastAsia" w:ascii="楷体_GB2312" w:hAnsi="楷体_GB2312" w:eastAsia="楷体_GB2312" w:cs="楷体_GB2312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0"/>
          <w:sz w:val="32"/>
          <w:szCs w:val="32"/>
        </w:rPr>
        <w:t>区财政局局长  周德望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/>
        <w:jc w:val="center"/>
        <w:textAlignment w:val="auto"/>
        <w:outlineLvl w:val="9"/>
        <w:rPr>
          <w:rFonts w:hint="eastAsia" w:ascii="楷体_GB2312" w:hAnsi="楷体_GB2312" w:eastAsia="楷体_GB2312" w:cs="楷体_GB2312"/>
          <w:spacing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spacing w:val="0"/>
          <w:sz w:val="32"/>
          <w:szCs w:val="32"/>
        </w:rPr>
        <w:t>（2019年8月</w:t>
      </w:r>
      <w:r>
        <w:rPr>
          <w:rFonts w:hint="eastAsia" w:ascii="楷体_GB2312" w:hAnsi="楷体_GB2312" w:eastAsia="楷体_GB2312" w:cs="楷体_GB2312"/>
          <w:spacing w:val="0"/>
          <w:sz w:val="32"/>
          <w:szCs w:val="32"/>
          <w:lang w:val="en-US" w:eastAsia="zh-CN"/>
        </w:rPr>
        <w:t>30</w:t>
      </w:r>
      <w:r>
        <w:rPr>
          <w:rFonts w:hint="eastAsia" w:ascii="楷体_GB2312" w:hAnsi="楷体_GB2312" w:eastAsia="楷体_GB2312" w:cs="楷体_GB2312"/>
          <w:spacing w:val="0"/>
          <w:sz w:val="32"/>
          <w:szCs w:val="32"/>
        </w:rPr>
        <w:t>日）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/>
        <w:textAlignment w:val="auto"/>
        <w:outlineLvl w:val="9"/>
        <w:rPr>
          <w:rFonts w:ascii="楷体_GB2312" w:hAnsi="Times New Roman" w:eastAsia="楷体_GB2312" w:cs="Times New Roman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/>
        <w:textAlignment w:val="auto"/>
        <w:outlineLvl w:val="9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主任、副主任，各位委员：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受区人民政府委托，现将</w:t>
      </w:r>
      <w:r>
        <w:rPr>
          <w:rFonts w:ascii="仿宋_GB2312" w:eastAsia="仿宋_GB2312" w:cs="仿宋_GB2312"/>
          <w:color w:val="000000"/>
          <w:sz w:val="32"/>
          <w:szCs w:val="32"/>
        </w:rPr>
        <w:t>2019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年上半年区本级预算执行情况向区人大常委会报告，请予审议。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ascii="黑体" w:eastAsia="黑体" w:cs="Times New Roman"/>
          <w:color w:val="000000"/>
          <w:sz w:val="32"/>
          <w:szCs w:val="32"/>
        </w:rPr>
      </w:pPr>
      <w:r>
        <w:rPr>
          <w:rFonts w:hint="eastAsia" w:ascii="黑体" w:eastAsia="黑体" w:cs="黑体"/>
          <w:color w:val="000000"/>
          <w:sz w:val="32"/>
          <w:szCs w:val="32"/>
        </w:rPr>
        <w:t>一、上半年预算执行情况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ascii="楷体_GB2312" w:eastAsia="楷体_GB2312" w:cs="Times New Roman"/>
          <w:color w:val="000000"/>
          <w:sz w:val="32"/>
          <w:szCs w:val="32"/>
        </w:rPr>
      </w:pPr>
      <w:r>
        <w:rPr>
          <w:rFonts w:hint="eastAsia" w:ascii="楷体_GB2312" w:eastAsia="楷体_GB2312" w:cs="楷体_GB2312"/>
          <w:color w:val="000000"/>
          <w:sz w:val="32"/>
          <w:szCs w:val="32"/>
        </w:rPr>
        <w:t>（一）一般公共预算执行情况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ascii="仿宋_GB2312" w:hAnsi="仿宋" w:eastAsia="仿宋_GB2312" w:cs="仿宋_GB2312"/>
          <w:color w:val="000000"/>
          <w:sz w:val="32"/>
          <w:szCs w:val="32"/>
        </w:rPr>
        <w:t>1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．收入预算执行情况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cs="Times New Roman"/>
          <w:color w:val="000000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>2019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年上半年，财政总收入</w:t>
      </w:r>
      <w:r>
        <w:rPr>
          <w:rFonts w:ascii="仿宋_GB2312" w:eastAsia="仿宋_GB2312" w:cs="仿宋_GB2312"/>
          <w:color w:val="000000"/>
          <w:sz w:val="32"/>
          <w:szCs w:val="32"/>
        </w:rPr>
        <w:t>30.09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亿元，完成年初预算的</w:t>
      </w:r>
      <w:r>
        <w:rPr>
          <w:rFonts w:ascii="仿宋_GB2312" w:eastAsia="仿宋_GB2312" w:cs="仿宋_GB2312"/>
          <w:color w:val="000000"/>
          <w:sz w:val="32"/>
          <w:szCs w:val="32"/>
        </w:rPr>
        <w:t>57.6%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，同比增长</w:t>
      </w:r>
      <w:r>
        <w:rPr>
          <w:rFonts w:ascii="仿宋_GB2312" w:eastAsia="仿宋_GB2312" w:cs="仿宋_GB2312"/>
          <w:color w:val="000000"/>
          <w:sz w:val="32"/>
          <w:szCs w:val="32"/>
        </w:rPr>
        <w:t>17.6%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，其中：一般公共预算收入</w:t>
      </w:r>
      <w:r>
        <w:rPr>
          <w:rFonts w:ascii="仿宋_GB2312" w:eastAsia="仿宋_GB2312" w:cs="仿宋_GB2312"/>
          <w:color w:val="000000"/>
          <w:sz w:val="32"/>
          <w:szCs w:val="32"/>
        </w:rPr>
        <w:t>18.20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亿元，完成年初预算的</w:t>
      </w:r>
      <w:r>
        <w:rPr>
          <w:rFonts w:ascii="仿宋_GB2312" w:eastAsia="仿宋_GB2312" w:cs="仿宋_GB2312"/>
          <w:color w:val="000000"/>
          <w:sz w:val="32"/>
          <w:szCs w:val="32"/>
        </w:rPr>
        <w:t>59.3%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，同比增长</w:t>
      </w:r>
      <w:r>
        <w:rPr>
          <w:rFonts w:ascii="仿宋_GB2312" w:eastAsia="仿宋_GB2312" w:cs="仿宋_GB2312"/>
          <w:color w:val="000000"/>
          <w:sz w:val="32"/>
          <w:szCs w:val="32"/>
        </w:rPr>
        <w:t>20.9%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。主要收入科目完成情况：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增值税（含营业税）收入</w:t>
      </w:r>
      <w:r>
        <w:rPr>
          <w:rFonts w:ascii="仿宋_GB2312" w:eastAsia="仿宋_GB2312" w:cs="仿宋_GB2312"/>
          <w:color w:val="000000"/>
          <w:sz w:val="32"/>
          <w:szCs w:val="32"/>
        </w:rPr>
        <w:t>6.74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亿元，完成年初预算的</w:t>
      </w:r>
      <w:r>
        <w:rPr>
          <w:rFonts w:ascii="仿宋_GB2312" w:eastAsia="仿宋_GB2312" w:cs="仿宋_GB2312"/>
          <w:color w:val="000000"/>
          <w:sz w:val="32"/>
          <w:szCs w:val="32"/>
        </w:rPr>
        <w:t>43.2%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，同比下降</w:t>
      </w:r>
      <w:r>
        <w:rPr>
          <w:rFonts w:ascii="仿宋_GB2312" w:eastAsia="仿宋_GB2312" w:cs="仿宋_GB2312"/>
          <w:color w:val="000000"/>
          <w:sz w:val="32"/>
          <w:szCs w:val="32"/>
        </w:rPr>
        <w:t>7.5%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；企业所得税</w:t>
      </w:r>
      <w:r>
        <w:rPr>
          <w:rFonts w:ascii="仿宋_GB2312" w:eastAsia="仿宋_GB2312" w:cs="仿宋_GB2312"/>
          <w:color w:val="000000"/>
          <w:sz w:val="32"/>
          <w:szCs w:val="32"/>
        </w:rPr>
        <w:t>2.84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亿元，完成年初预算的</w:t>
      </w:r>
      <w:r>
        <w:rPr>
          <w:rFonts w:ascii="仿宋_GB2312" w:eastAsia="仿宋_GB2312" w:cs="仿宋_GB2312"/>
          <w:color w:val="000000"/>
          <w:sz w:val="32"/>
          <w:szCs w:val="32"/>
        </w:rPr>
        <w:t>104.8%,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同比增长</w:t>
      </w:r>
      <w:r>
        <w:rPr>
          <w:rFonts w:ascii="仿宋_GB2312" w:eastAsia="仿宋_GB2312" w:cs="仿宋_GB2312"/>
          <w:color w:val="000000"/>
          <w:sz w:val="32"/>
          <w:szCs w:val="32"/>
        </w:rPr>
        <w:t>100.1%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；个人所得税</w:t>
      </w:r>
      <w:r>
        <w:rPr>
          <w:rFonts w:ascii="仿宋_GB2312" w:eastAsia="仿宋_GB2312" w:cs="仿宋_GB2312"/>
          <w:color w:val="000000"/>
          <w:sz w:val="32"/>
          <w:szCs w:val="32"/>
        </w:rPr>
        <w:t>0.58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亿元，完成年初预算的</w:t>
      </w:r>
      <w:r>
        <w:rPr>
          <w:rFonts w:ascii="仿宋_GB2312" w:eastAsia="仿宋_GB2312" w:cs="仿宋_GB2312"/>
          <w:color w:val="000000"/>
          <w:sz w:val="32"/>
          <w:szCs w:val="32"/>
        </w:rPr>
        <w:t>49.2%,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同比下降</w:t>
      </w:r>
      <w:r>
        <w:rPr>
          <w:rFonts w:ascii="仿宋_GB2312" w:eastAsia="仿宋_GB2312" w:cs="仿宋_GB2312"/>
          <w:color w:val="000000"/>
          <w:sz w:val="32"/>
          <w:szCs w:val="32"/>
        </w:rPr>
        <w:t>16.4%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；非税收入</w:t>
      </w:r>
      <w:r>
        <w:rPr>
          <w:rFonts w:ascii="仿宋_GB2312" w:eastAsia="仿宋_GB2312" w:cs="仿宋_GB2312"/>
          <w:color w:val="000000"/>
          <w:sz w:val="32"/>
          <w:szCs w:val="32"/>
        </w:rPr>
        <w:t>2.90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亿元，完成年初预算的</w:t>
      </w:r>
      <w:r>
        <w:rPr>
          <w:rFonts w:ascii="仿宋_GB2312" w:eastAsia="仿宋_GB2312" w:cs="仿宋_GB2312"/>
          <w:color w:val="000000"/>
          <w:sz w:val="32"/>
          <w:szCs w:val="32"/>
        </w:rPr>
        <w:t>92.3%,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同比增长</w:t>
      </w:r>
      <w:r>
        <w:rPr>
          <w:rFonts w:ascii="仿宋_GB2312" w:eastAsia="仿宋_GB2312" w:cs="仿宋_GB2312"/>
          <w:color w:val="000000"/>
          <w:sz w:val="32"/>
          <w:szCs w:val="32"/>
        </w:rPr>
        <w:t>57.7%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ascii="仿宋_GB2312" w:hAnsi="仿宋" w:eastAsia="仿宋_GB2312" w:cs="仿宋_GB2312"/>
          <w:color w:val="000000"/>
          <w:sz w:val="32"/>
          <w:szCs w:val="32"/>
        </w:rPr>
        <w:t>2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．支出预算执行情况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645"/>
        <w:textAlignment w:val="auto"/>
        <w:outlineLvl w:val="9"/>
        <w:rPr>
          <w:rFonts w:ascii="仿宋_GB2312" w:eastAsia="仿宋_GB2312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2019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年上半年，一般公共预算支出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18.57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亿元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,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完成年初预算的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53.2%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，同比增长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23.3%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，其中：当年支出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16.58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亿元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,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完成年初预算的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57.0%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，同比增长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25.8%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。主要支出科目完成情况：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一般公共服务支出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3.15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亿元，完成年初预算的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60.6%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，同比增长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20.5%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。支出增长较快，主要是因为根据《关于完善区对街道财政体制的通知》（温龙政办发〔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2018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〕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63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号）的文件精神，加大对街道基本支出的补助，提高街道的保障力度。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公共安全支出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2.01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亿元，完成年初预算的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55.8%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，同比增长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15.8%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。支出增长较快，主要是因为加快支出执行进度。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教育支出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4.41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亿元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,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完成年初预算的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62.5%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，同比增长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67.1%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。支出增长较快，主要是因为提高教师工资待遇和政府投资计划项目资金调入等因素。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科学技术支出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1.60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亿元，完成年初预算的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76.4%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，同比增长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42.2%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。支出增长较快，主要是因为产业政策的兑现和加快浙南科技城支出执行进度。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社会保障和就业支出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1.21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亿元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,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完成年初预算的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45.6%,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同比增长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21.4%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。支出增长较快，主要是因为加大对街道基本支出的补助，提高街道的保障力度。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卫生健康支出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2.08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亿元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,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完成年初预算的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63.0%,</w:t>
      </w:r>
      <w:r>
        <w:rPr>
          <w:rFonts w:hint="eastAsia" w:ascii="仿宋_GB2312" w:eastAsia="仿宋_GB2312" w:cs="仿宋_GB2312"/>
          <w:color w:val="000000"/>
          <w:kern w:val="0"/>
          <w:sz w:val="32"/>
          <w:szCs w:val="32"/>
        </w:rPr>
        <w:t>同比增长</w:t>
      </w:r>
      <w:r>
        <w:rPr>
          <w:rFonts w:ascii="仿宋_GB2312" w:eastAsia="仿宋_GB2312" w:cs="仿宋_GB2312"/>
          <w:color w:val="000000"/>
          <w:kern w:val="0"/>
          <w:sz w:val="32"/>
          <w:szCs w:val="32"/>
        </w:rPr>
        <w:t>2.4%;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ascii="楷体_GB2312" w:eastAsia="楷体_GB2312" w:cs="Times New Roman"/>
          <w:b/>
          <w:bCs/>
          <w:color w:val="000000"/>
          <w:sz w:val="32"/>
          <w:szCs w:val="32"/>
        </w:rPr>
      </w:pPr>
      <w:r>
        <w:rPr>
          <w:rFonts w:hint="eastAsia" w:ascii="楷体_GB2312" w:eastAsia="楷体_GB2312" w:cs="楷体_GB2312"/>
          <w:color w:val="000000"/>
          <w:sz w:val="32"/>
          <w:szCs w:val="32"/>
        </w:rPr>
        <w:t>（二）政府性基金预算执行情况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>2019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年上半年，政府性基金收入</w:t>
      </w:r>
      <w:r>
        <w:rPr>
          <w:rFonts w:ascii="仿宋_GB2312" w:eastAsia="仿宋_GB2312" w:cs="仿宋_GB2312"/>
          <w:color w:val="000000"/>
          <w:sz w:val="32"/>
          <w:szCs w:val="32"/>
        </w:rPr>
        <w:t>15.64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亿元，完成年初预算的</w:t>
      </w:r>
      <w:r>
        <w:rPr>
          <w:rFonts w:ascii="仿宋_GB2312" w:eastAsia="仿宋_GB2312" w:cs="仿宋_GB2312"/>
          <w:color w:val="000000"/>
          <w:sz w:val="32"/>
          <w:szCs w:val="32"/>
        </w:rPr>
        <w:t>17.4%,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同比增长</w:t>
      </w:r>
      <w:r>
        <w:rPr>
          <w:rFonts w:ascii="仿宋_GB2312" w:eastAsia="仿宋_GB2312" w:cs="仿宋_GB2312"/>
          <w:color w:val="000000"/>
          <w:sz w:val="32"/>
          <w:szCs w:val="32"/>
        </w:rPr>
        <w:t>29.6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％。主要收入科目完成情况：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16" w:firstLineChars="200"/>
        <w:textAlignment w:val="auto"/>
        <w:outlineLvl w:val="9"/>
        <w:rPr>
          <w:rFonts w:ascii="仿宋_GB2312" w:eastAsia="仿宋_GB2312" w:cs="Times New Roman"/>
          <w:color w:val="000000"/>
          <w:spacing w:val="-6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pacing w:val="-6"/>
          <w:sz w:val="32"/>
          <w:szCs w:val="32"/>
        </w:rPr>
        <w:t>国有土地使用权出让收入</w:t>
      </w:r>
      <w:r>
        <w:rPr>
          <w:rFonts w:ascii="仿宋_GB2312" w:eastAsia="仿宋_GB2312" w:cs="仿宋_GB2312"/>
          <w:color w:val="000000"/>
          <w:spacing w:val="-6"/>
          <w:sz w:val="32"/>
          <w:szCs w:val="32"/>
        </w:rPr>
        <w:t>14.57</w:t>
      </w:r>
      <w:r>
        <w:rPr>
          <w:rFonts w:hint="eastAsia" w:ascii="仿宋_GB2312" w:eastAsia="仿宋_GB2312" w:cs="仿宋_GB2312"/>
          <w:color w:val="000000"/>
          <w:spacing w:val="-6"/>
          <w:sz w:val="32"/>
          <w:szCs w:val="32"/>
        </w:rPr>
        <w:t>亿元，完成年初预算的</w:t>
      </w:r>
      <w:r>
        <w:rPr>
          <w:rFonts w:ascii="仿宋_GB2312" w:eastAsia="仿宋_GB2312" w:cs="仿宋_GB2312"/>
          <w:color w:val="000000"/>
          <w:spacing w:val="-6"/>
          <w:sz w:val="32"/>
          <w:szCs w:val="32"/>
        </w:rPr>
        <w:t>16.7%</w:t>
      </w:r>
      <w:r>
        <w:rPr>
          <w:rFonts w:hint="eastAsia" w:ascii="仿宋_GB2312" w:eastAsia="仿宋_GB2312" w:cs="仿宋_GB2312"/>
          <w:color w:val="000000"/>
          <w:spacing w:val="-6"/>
          <w:sz w:val="32"/>
          <w:szCs w:val="32"/>
        </w:rPr>
        <w:t>，同比增长</w:t>
      </w:r>
      <w:r>
        <w:rPr>
          <w:rFonts w:ascii="仿宋_GB2312" w:eastAsia="仿宋_GB2312" w:cs="仿宋_GB2312"/>
          <w:color w:val="000000"/>
          <w:spacing w:val="-6"/>
          <w:sz w:val="32"/>
          <w:szCs w:val="32"/>
        </w:rPr>
        <w:t>20.7%</w:t>
      </w:r>
      <w:r>
        <w:rPr>
          <w:rFonts w:hint="eastAsia" w:ascii="仿宋_GB2312" w:eastAsia="仿宋_GB2312" w:cs="仿宋_GB2312"/>
          <w:color w:val="000000"/>
          <w:spacing w:val="-6"/>
          <w:sz w:val="32"/>
          <w:szCs w:val="32"/>
        </w:rPr>
        <w:t>。执行率较低，主要是因为国有土地使用权出让没有预期好。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ascii="仿宋_GB2312" w:eastAsia="仿宋_GB2312" w:cs="仿宋_GB2312"/>
          <w:color w:val="000000"/>
          <w:sz w:val="32"/>
          <w:szCs w:val="32"/>
        </w:rPr>
        <w:t>2019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年上半年，政府性基金支出</w:t>
      </w:r>
      <w:r>
        <w:rPr>
          <w:rFonts w:ascii="仿宋_GB2312" w:eastAsia="仿宋_GB2312" w:cs="仿宋_GB2312"/>
          <w:color w:val="000000"/>
          <w:sz w:val="32"/>
          <w:szCs w:val="32"/>
        </w:rPr>
        <w:t>47.06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亿元，完成年初预算的</w:t>
      </w:r>
      <w:r>
        <w:rPr>
          <w:rFonts w:ascii="仿宋_GB2312" w:eastAsia="仿宋_GB2312" w:cs="仿宋_GB2312"/>
          <w:color w:val="000000"/>
          <w:sz w:val="32"/>
          <w:szCs w:val="32"/>
        </w:rPr>
        <w:t>47.3%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，同比增长</w:t>
      </w:r>
      <w:r>
        <w:rPr>
          <w:rFonts w:ascii="仿宋_GB2312" w:eastAsia="仿宋_GB2312" w:cs="仿宋_GB2312"/>
          <w:color w:val="000000"/>
          <w:sz w:val="32"/>
          <w:szCs w:val="32"/>
        </w:rPr>
        <w:t>119.2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％。主要支出科目完成情况：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16" w:firstLineChars="200"/>
        <w:textAlignment w:val="auto"/>
        <w:outlineLvl w:val="9"/>
        <w:rPr>
          <w:rFonts w:ascii="仿宋_GB2312" w:eastAsia="仿宋_GB2312" w:cs="Times New Roman"/>
          <w:color w:val="000000"/>
          <w:spacing w:val="-6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pacing w:val="-6"/>
          <w:sz w:val="32"/>
          <w:szCs w:val="32"/>
        </w:rPr>
        <w:t>城乡社区支出</w:t>
      </w:r>
      <w:r>
        <w:rPr>
          <w:rFonts w:ascii="仿宋_GB2312" w:eastAsia="仿宋_GB2312" w:cs="仿宋_GB2312"/>
          <w:color w:val="000000"/>
          <w:spacing w:val="-6"/>
          <w:sz w:val="32"/>
          <w:szCs w:val="32"/>
        </w:rPr>
        <w:t>46.22</w:t>
      </w:r>
      <w:r>
        <w:rPr>
          <w:rFonts w:hint="eastAsia" w:ascii="仿宋_GB2312" w:eastAsia="仿宋_GB2312" w:cs="仿宋_GB2312"/>
          <w:color w:val="000000"/>
          <w:spacing w:val="-6"/>
          <w:sz w:val="32"/>
          <w:szCs w:val="32"/>
        </w:rPr>
        <w:t>亿元，完成年初预算的</w:t>
      </w:r>
      <w:r>
        <w:rPr>
          <w:rFonts w:ascii="仿宋_GB2312" w:eastAsia="仿宋_GB2312" w:cs="仿宋_GB2312"/>
          <w:color w:val="000000"/>
          <w:spacing w:val="-6"/>
          <w:sz w:val="32"/>
          <w:szCs w:val="32"/>
        </w:rPr>
        <w:t>48.7%</w:t>
      </w:r>
      <w:r>
        <w:rPr>
          <w:rFonts w:hint="eastAsia" w:ascii="仿宋_GB2312" w:eastAsia="仿宋_GB2312" w:cs="仿宋_GB2312"/>
          <w:color w:val="000000"/>
          <w:spacing w:val="-6"/>
          <w:sz w:val="32"/>
          <w:szCs w:val="32"/>
        </w:rPr>
        <w:t>，同比增长</w:t>
      </w:r>
      <w:r>
        <w:rPr>
          <w:rFonts w:ascii="仿宋_GB2312" w:eastAsia="仿宋_GB2312" w:cs="仿宋_GB2312"/>
          <w:color w:val="000000"/>
          <w:spacing w:val="-6"/>
          <w:sz w:val="32"/>
          <w:szCs w:val="32"/>
        </w:rPr>
        <w:t>122.7%</w:t>
      </w:r>
      <w:r>
        <w:rPr>
          <w:rFonts w:hint="eastAsia" w:ascii="仿宋_GB2312" w:eastAsia="仿宋_GB2312" w:cs="仿宋_GB2312"/>
          <w:color w:val="000000"/>
          <w:spacing w:val="-6"/>
          <w:sz w:val="32"/>
          <w:szCs w:val="32"/>
        </w:rPr>
        <w:t>。支出增长较快，主要是因为新增专项债券支出</w:t>
      </w:r>
      <w:r>
        <w:rPr>
          <w:rFonts w:ascii="仿宋_GB2312" w:eastAsia="仿宋_GB2312" w:cs="仿宋_GB2312"/>
          <w:color w:val="000000"/>
          <w:spacing w:val="-6"/>
          <w:sz w:val="32"/>
          <w:szCs w:val="32"/>
        </w:rPr>
        <w:t>11</w:t>
      </w:r>
      <w:r>
        <w:rPr>
          <w:rFonts w:hint="eastAsia" w:ascii="仿宋_GB2312" w:eastAsia="仿宋_GB2312" w:cs="仿宋_GB2312"/>
          <w:color w:val="000000"/>
          <w:spacing w:val="-6"/>
          <w:sz w:val="32"/>
          <w:szCs w:val="32"/>
        </w:rPr>
        <w:t>亿元。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ascii="楷体_GB2312" w:eastAsia="楷体_GB2312" w:cs="Times New Roman"/>
          <w:color w:val="000000"/>
          <w:sz w:val="32"/>
          <w:szCs w:val="32"/>
        </w:rPr>
      </w:pPr>
      <w:r>
        <w:rPr>
          <w:rFonts w:hint="eastAsia" w:ascii="楷体_GB2312" w:eastAsia="楷体_GB2312" w:cs="楷体_GB2312"/>
          <w:color w:val="000000"/>
          <w:sz w:val="32"/>
          <w:szCs w:val="32"/>
        </w:rPr>
        <w:t>（三）政府性债务预算执行情况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616" w:firstLineChars="200"/>
        <w:textAlignment w:val="auto"/>
        <w:outlineLvl w:val="9"/>
        <w:rPr>
          <w:rFonts w:ascii="仿宋_GB2312" w:eastAsia="仿宋_GB2312" w:cs="Times New Roman"/>
          <w:color w:val="000000"/>
          <w:spacing w:val="-6"/>
          <w:sz w:val="32"/>
          <w:szCs w:val="32"/>
        </w:rPr>
      </w:pPr>
      <w:r>
        <w:rPr>
          <w:rFonts w:ascii="仿宋_GB2312" w:eastAsia="仿宋_GB2312" w:cs="仿宋_GB2312"/>
          <w:color w:val="000000"/>
          <w:spacing w:val="-6"/>
          <w:sz w:val="32"/>
          <w:szCs w:val="32"/>
        </w:rPr>
        <w:t>2019</w:t>
      </w:r>
      <w:r>
        <w:rPr>
          <w:rFonts w:hint="eastAsia" w:ascii="仿宋_GB2312" w:eastAsia="仿宋_GB2312" w:cs="仿宋_GB2312"/>
          <w:color w:val="000000"/>
          <w:spacing w:val="-6"/>
          <w:sz w:val="32"/>
          <w:szCs w:val="32"/>
        </w:rPr>
        <w:t>年上半年，省财政厅核定我区地方政府债务限额</w:t>
      </w:r>
      <w:r>
        <w:rPr>
          <w:rFonts w:ascii="仿宋_GB2312" w:eastAsia="仿宋_GB2312" w:cs="仿宋_GB2312"/>
          <w:color w:val="000000"/>
          <w:spacing w:val="-6"/>
          <w:sz w:val="32"/>
          <w:szCs w:val="32"/>
        </w:rPr>
        <w:t>61.47</w:t>
      </w:r>
      <w:r>
        <w:rPr>
          <w:rFonts w:hint="eastAsia" w:ascii="仿宋_GB2312" w:eastAsia="仿宋_GB2312" w:cs="仿宋_GB2312"/>
          <w:color w:val="000000"/>
          <w:spacing w:val="-6"/>
          <w:sz w:val="32"/>
          <w:szCs w:val="32"/>
        </w:rPr>
        <w:t>亿元，其中：一般债务限额</w:t>
      </w:r>
      <w:r>
        <w:rPr>
          <w:rFonts w:ascii="仿宋_GB2312" w:eastAsia="仿宋_GB2312" w:cs="仿宋_GB2312"/>
          <w:color w:val="000000"/>
          <w:spacing w:val="-6"/>
          <w:sz w:val="32"/>
          <w:szCs w:val="32"/>
        </w:rPr>
        <w:t>15.1</w:t>
      </w:r>
      <w:r>
        <w:rPr>
          <w:rFonts w:hint="eastAsia" w:ascii="仿宋_GB2312" w:eastAsia="仿宋_GB2312" w:cs="仿宋_GB2312"/>
          <w:color w:val="000000"/>
          <w:spacing w:val="-6"/>
          <w:sz w:val="32"/>
          <w:szCs w:val="32"/>
        </w:rPr>
        <w:t>亿元，专项债务限额</w:t>
      </w:r>
      <w:r>
        <w:rPr>
          <w:rFonts w:ascii="仿宋_GB2312" w:eastAsia="仿宋_GB2312" w:cs="仿宋_GB2312"/>
          <w:color w:val="000000"/>
          <w:spacing w:val="-6"/>
          <w:sz w:val="32"/>
          <w:szCs w:val="32"/>
        </w:rPr>
        <w:t>46.37</w:t>
      </w:r>
      <w:r>
        <w:rPr>
          <w:rFonts w:hint="eastAsia" w:ascii="仿宋_GB2312" w:eastAsia="仿宋_GB2312" w:cs="仿宋_GB2312"/>
          <w:color w:val="000000"/>
          <w:spacing w:val="-6"/>
          <w:sz w:val="32"/>
          <w:szCs w:val="32"/>
        </w:rPr>
        <w:t>亿元，债务余额与限额相同。经省财政厅核准，我区申请</w:t>
      </w:r>
      <w:r>
        <w:rPr>
          <w:rFonts w:ascii="仿宋_GB2312" w:eastAsia="仿宋_GB2312" w:cs="仿宋_GB2312"/>
          <w:color w:val="000000"/>
          <w:spacing w:val="-6"/>
          <w:sz w:val="32"/>
          <w:szCs w:val="32"/>
        </w:rPr>
        <w:t>2019</w:t>
      </w:r>
      <w:r>
        <w:rPr>
          <w:rFonts w:hint="eastAsia" w:ascii="仿宋_GB2312" w:eastAsia="仿宋_GB2312" w:cs="仿宋_GB2312"/>
          <w:color w:val="000000"/>
          <w:spacing w:val="-6"/>
          <w:sz w:val="32"/>
          <w:szCs w:val="32"/>
        </w:rPr>
        <w:t>年度新增地方政府土地储备专项债券</w:t>
      </w:r>
      <w:r>
        <w:rPr>
          <w:rFonts w:ascii="仿宋_GB2312" w:eastAsia="仿宋_GB2312" w:cs="仿宋_GB2312"/>
          <w:color w:val="000000"/>
          <w:spacing w:val="-6"/>
          <w:sz w:val="32"/>
          <w:szCs w:val="32"/>
        </w:rPr>
        <w:t>15</w:t>
      </w:r>
      <w:r>
        <w:rPr>
          <w:rFonts w:hint="eastAsia" w:ascii="仿宋_GB2312" w:eastAsia="仿宋_GB2312" w:cs="仿宋_GB2312"/>
          <w:color w:val="000000"/>
          <w:spacing w:val="-6"/>
          <w:sz w:val="32"/>
          <w:szCs w:val="32"/>
        </w:rPr>
        <w:t>亿元。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ascii="黑体" w:eastAsia="黑体" w:cs="Times New Roman"/>
          <w:color w:val="000000"/>
          <w:sz w:val="32"/>
          <w:szCs w:val="32"/>
        </w:rPr>
      </w:pPr>
      <w:r>
        <w:rPr>
          <w:rFonts w:hint="eastAsia" w:ascii="黑体" w:eastAsia="黑体" w:cs="黑体"/>
          <w:color w:val="000000"/>
          <w:sz w:val="32"/>
          <w:szCs w:val="32"/>
        </w:rPr>
        <w:t>二、上半年主要工作措施</w:t>
      </w:r>
    </w:p>
    <w:p>
      <w:pPr>
        <w:keepNext w:val="0"/>
        <w:keepLines w:val="0"/>
        <w:pageBreakBefore w:val="0"/>
        <w:tabs>
          <w:tab w:val="right" w:pos="8306"/>
        </w:tabs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Arial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</w:rPr>
        <w:t>认真落实区八届人大三次会议有关决议，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立足我区“五个中心”建设，深化财政国资改革，强化资金监督管理，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</w:rPr>
        <w:t>预算执行情况总体良好，为完成全年预期目标奠定了坚实基础。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（一）加强税源培植，服务经济持续有力。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加强政府非税收入征收管理，重点抓好国家“清费减负”政策落实工作，收缴非税收入</w:t>
      </w:r>
      <w:r>
        <w:rPr>
          <w:rFonts w:ascii="仿宋_GB2312" w:eastAsia="仿宋_GB2312" w:cs="仿宋_GB2312"/>
          <w:color w:val="000000"/>
          <w:sz w:val="32"/>
          <w:szCs w:val="32"/>
        </w:rPr>
        <w:t>2.62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亿元，同比下降</w:t>
      </w:r>
      <w:r>
        <w:rPr>
          <w:rFonts w:ascii="仿宋_GB2312" w:eastAsia="仿宋_GB2312" w:cs="仿宋_GB2312"/>
          <w:color w:val="000000"/>
          <w:sz w:val="32"/>
          <w:szCs w:val="32"/>
        </w:rPr>
        <w:t>19.0%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。优化涉企服务，加大对技改投入、节能降耗、互联网、科技型企业等方面的补助力度，拨付补助资金</w:t>
      </w:r>
      <w:r>
        <w:rPr>
          <w:rFonts w:ascii="仿宋_GB2312" w:eastAsia="仿宋_GB2312" w:cs="仿宋_GB2312"/>
          <w:color w:val="000000"/>
          <w:sz w:val="32"/>
          <w:szCs w:val="32"/>
        </w:rPr>
        <w:t>1.31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亿元。着力解决企业融资难担保难问题，为中小企业解决应急转贷资金</w:t>
      </w:r>
      <w:r>
        <w:rPr>
          <w:rFonts w:ascii="仿宋_GB2312" w:eastAsia="仿宋_GB2312" w:cs="仿宋_GB2312"/>
          <w:color w:val="000000"/>
          <w:sz w:val="32"/>
          <w:szCs w:val="32"/>
        </w:rPr>
        <w:t>21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笔，合计金额</w:t>
      </w:r>
      <w:r>
        <w:rPr>
          <w:rFonts w:ascii="仿宋_GB2312" w:eastAsia="仿宋_GB2312" w:cs="仿宋_GB2312"/>
          <w:color w:val="000000"/>
          <w:sz w:val="32"/>
          <w:szCs w:val="32"/>
        </w:rPr>
        <w:t>1.23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亿元。推进五大产业惠企政策整合，落实奖励兑现网络平台建设，刚性兑现奖励资金</w:t>
      </w:r>
      <w:r>
        <w:rPr>
          <w:rFonts w:ascii="仿宋_GB2312" w:eastAsia="仿宋_GB2312" w:cs="仿宋_GB2312"/>
          <w:color w:val="000000"/>
          <w:sz w:val="32"/>
          <w:szCs w:val="32"/>
        </w:rPr>
        <w:t>6087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万元。实施传统产业改造提升行动计划，拨付传统产业数字化改造等资金</w:t>
      </w:r>
      <w:r>
        <w:rPr>
          <w:rFonts w:ascii="仿宋_GB2312" w:eastAsia="仿宋_GB2312" w:cs="仿宋_GB2312"/>
          <w:color w:val="000000"/>
          <w:sz w:val="32"/>
          <w:szCs w:val="32"/>
        </w:rPr>
        <w:t>791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万元。落实补助农企政策，支持花卉、果蔬、畜牧、花木等现代农业项目，落实补助资金</w:t>
      </w:r>
      <w:r>
        <w:rPr>
          <w:rFonts w:ascii="仿宋_GB2312" w:eastAsia="仿宋_GB2312" w:cs="仿宋_GB2312"/>
          <w:color w:val="000000"/>
          <w:sz w:val="32"/>
          <w:szCs w:val="32"/>
        </w:rPr>
        <w:t>1822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万元。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（二）优化支出结构，民生保障扎紧扎牢。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坚持“集中财力办大事”原则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,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落实“过紧日子”要求，抓好民生改善，严控一般性支出，保障重点支出。上半年，民生支出</w:t>
      </w:r>
      <w:r>
        <w:rPr>
          <w:rFonts w:ascii="仿宋_GB2312" w:eastAsia="仿宋_GB2312" w:cs="仿宋_GB2312"/>
          <w:color w:val="000000"/>
          <w:sz w:val="32"/>
          <w:szCs w:val="32"/>
        </w:rPr>
        <w:t>14.44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亿元，同比增长</w:t>
      </w:r>
      <w:r>
        <w:rPr>
          <w:rFonts w:ascii="仿宋_GB2312" w:eastAsia="仿宋_GB2312" w:cs="仿宋_GB2312"/>
          <w:color w:val="000000"/>
          <w:sz w:val="32"/>
          <w:szCs w:val="32"/>
        </w:rPr>
        <w:t>23.2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，占当年支出</w:t>
      </w:r>
      <w:r>
        <w:rPr>
          <w:rFonts w:ascii="仿宋_GB2312" w:eastAsia="仿宋_GB2312" w:cs="仿宋_GB2312"/>
          <w:color w:val="000000"/>
          <w:sz w:val="32"/>
          <w:szCs w:val="32"/>
        </w:rPr>
        <w:t>77.8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%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，重点保障教育、社保、医疗、农业等方面支出。积极保障学前教育，全区新（扩）建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15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所幼儿园，普惠性幼儿园覆盖面达到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94%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。安排优抚资金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245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万元，大力支持退伍军人、伤残军人安抚安置等工作。筹集各级资金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8042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万元，支持开展泥浆固化及河道疏浚、城镇供水管网改造、活水畅流等项目。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Times New Roman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（三）深化财政改革，理财水平依法提升。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深化非税收入统一公共支付平台扩面工作，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完成平台支付笔数</w:t>
      </w:r>
      <w:r>
        <w:rPr>
          <w:rFonts w:ascii="仿宋_GB2312" w:eastAsia="仿宋_GB2312" w:cs="仿宋_GB2312"/>
          <w:color w:val="000000"/>
          <w:sz w:val="32"/>
          <w:szCs w:val="32"/>
        </w:rPr>
        <w:t>7.5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万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笔，支付资金</w:t>
      </w:r>
      <w:r>
        <w:rPr>
          <w:rFonts w:ascii="仿宋_GB2312" w:eastAsia="仿宋_GB2312" w:cs="仿宋_GB2312"/>
          <w:color w:val="000000"/>
          <w:sz w:val="32"/>
          <w:szCs w:val="32"/>
        </w:rPr>
        <w:t>2.30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亿</w:t>
      </w:r>
      <w:r>
        <w:rPr>
          <w:rFonts w:hint="eastAsia" w:ascii="仿宋_GB2312" w:hAnsi="宋体" w:eastAsia="仿宋_GB2312" w:cs="仿宋_GB2312"/>
          <w:color w:val="000000"/>
          <w:sz w:val="32"/>
          <w:szCs w:val="32"/>
        </w:rPr>
        <w:t>元。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深化国库集中支付改革，首批试点推行新财务系统核算云平台，实现所有预算单位零上门办理国库集中支付业务，完成支付资金</w:t>
      </w:r>
      <w:r>
        <w:rPr>
          <w:rFonts w:ascii="仿宋_GB2312" w:eastAsia="仿宋_GB2312" w:cs="仿宋_GB2312"/>
          <w:color w:val="000000"/>
          <w:sz w:val="32"/>
          <w:szCs w:val="32"/>
        </w:rPr>
        <w:t>41.55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亿元。率先建立“收、调、减、补”工作机制，发挥财政支出“逆周期”调节效应，全面盘活优化资金</w:t>
      </w:r>
      <w:r>
        <w:rPr>
          <w:rFonts w:ascii="仿宋_GB2312" w:eastAsia="仿宋_GB2312" w:cs="仿宋_GB2312"/>
          <w:color w:val="000000"/>
          <w:sz w:val="32"/>
          <w:szCs w:val="32"/>
        </w:rPr>
        <w:t>1.68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亿元。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落实乡村振兴政策，提高村级公益事业建设一事一议财政奖补项目补助比例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5%—25%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，扩大农业龙头企业、农业科技、农业品牌等财政奖补范围，推进农村改革，培育农业农村新动能。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707" w:firstLineChars="221"/>
        <w:jc w:val="both"/>
        <w:textAlignment w:val="auto"/>
        <w:outlineLvl w:val="9"/>
        <w:rPr>
          <w:rFonts w:ascii="仿宋_GB2312" w:hAnsi="仿宋_GB2312" w:eastAsia="仿宋_GB2312" w:cs="Times New Roman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（四）强化财政监管，财政资金提质增效。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加强预算绩效管理，将区级专项资金都纳入绩效自评和绩效监控，推进预算和绩效管理一体化。创新实行分口来源管理，提升指标管理效能，强化采购预算指标管理，实现实时动态监管，进一步规范预算指标管理。加强财政投资建设项目资金管理力度，提高结算评审效率，审结项目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102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个，送审金额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3.1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亿元，审定金额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2.94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亿元，核减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1633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万元，核减率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5.2%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。加大专项资金监督检查力度，开展惠民惠农财政“一卡通”专项检查，摸排“一卡通”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6509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张，涉及金额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6732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万元。深度应用“采购云”平台，优化政府采购审批业务流程，审批政府采购项目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435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件，采购预算总金额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2.23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亿元，实际采购支出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2.06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亿元，节约资金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1633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万元。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（五）稳健筹措资金，服务大局作用凸显。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</w:rPr>
        <w:t>坚持防风险与促发展相结合，全力拓展规范融资渠道，撬动更多社会资本，发挥好财政资金</w:t>
      </w:r>
      <w:r>
        <w:rPr>
          <w:rFonts w:ascii="仿宋_GB2312" w:hAnsi="Helvetica" w:eastAsia="仿宋_GB2312" w:cs="Helvetica"/>
          <w:color w:val="000000"/>
          <w:sz w:val="32"/>
          <w:szCs w:val="32"/>
        </w:rPr>
        <w:t>“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</w:rPr>
        <w:t>四两拨千斤</w:t>
      </w:r>
      <w:r>
        <w:rPr>
          <w:rFonts w:ascii="仿宋_GB2312" w:hAnsi="Helvetica" w:eastAsia="仿宋_GB2312" w:cs="Helvetica"/>
          <w:color w:val="000000"/>
          <w:sz w:val="32"/>
          <w:szCs w:val="32"/>
        </w:rPr>
        <w:t>”</w:t>
      </w:r>
      <w:r>
        <w:rPr>
          <w:rFonts w:hint="eastAsia" w:ascii="仿宋_GB2312" w:hAnsi="Helvetica" w:eastAsia="仿宋_GB2312" w:cs="仿宋_GB2312"/>
          <w:color w:val="000000"/>
          <w:sz w:val="32"/>
          <w:szCs w:val="32"/>
        </w:rPr>
        <w:t>的作用。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上半年，全区筹融资总额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77.07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亿元，完成年初计划的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33.9%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，保障政府投资项目资金足额到位。拨付全区各类基本建设资金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14.89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亿元，争取保障性住房建设和市区主干道建设与整治提升、“上改下”等工程上级补助资金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2.55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亿元。有序推进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PPP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项目工作，实现蒲州街道江前村、龙湾城市中心区城中村改造工程这两个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PPP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项目的入库数据的实时更新和动态监管。严格落实政府债务管理政策，科学制定资金筹措计划，多种融资方式并举，严防新增政府隐性债务风险，有序推进政府债务化解工作。上半年，累计化债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29.24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亿元，完成率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60.2%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，高于序时进度</w:t>
      </w:r>
      <w:r>
        <w:rPr>
          <w:rFonts w:ascii="仿宋_GB2312" w:hAnsi="仿宋_GB2312" w:eastAsia="仿宋_GB2312" w:cs="仿宋_GB2312"/>
          <w:color w:val="000000"/>
          <w:kern w:val="0"/>
          <w:sz w:val="32"/>
          <w:szCs w:val="32"/>
        </w:rPr>
        <w:t>10.2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个百分点。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Arial" w:eastAsia="仿宋_GB2312" w:cs="Times New Roman"/>
          <w:color w:val="000000"/>
          <w:kern w:val="0"/>
          <w:sz w:val="32"/>
          <w:szCs w:val="32"/>
        </w:rPr>
      </w:pP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</w:rPr>
        <w:t>半年来，在区人大常委会的支持指导和监督下，</w:t>
      </w:r>
      <w:r>
        <w:rPr>
          <w:rFonts w:hint="eastAsia" w:ascii="仿宋_GB2312" w:eastAsia="仿宋_GB2312" w:cs="仿宋_GB2312"/>
          <w:color w:val="000000"/>
          <w:sz w:val="32"/>
          <w:szCs w:val="32"/>
        </w:rPr>
        <w:t>财政运行基本平稳</w:t>
      </w:r>
      <w:r>
        <w:rPr>
          <w:rFonts w:hint="eastAsia" w:ascii="仿宋_GB2312" w:hAnsi="Arial" w:eastAsia="仿宋_GB2312" w:cs="仿宋_GB2312"/>
          <w:color w:val="000000"/>
          <w:kern w:val="0"/>
          <w:sz w:val="32"/>
          <w:szCs w:val="32"/>
        </w:rPr>
        <w:t>，但财政工作仍面临一些压力，财政管理水平有待进一步提高，主要表现为：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643" w:firstLineChars="200"/>
        <w:textAlignment w:val="auto"/>
        <w:outlineLvl w:val="9"/>
        <w:rPr>
          <w:rFonts w:ascii="黑体" w:eastAsia="黑体" w:cs="Times New Roman"/>
          <w:color w:val="000000"/>
          <w:sz w:val="32"/>
          <w:szCs w:val="32"/>
        </w:rPr>
      </w:pPr>
      <w:r>
        <w:rPr>
          <w:rFonts w:hint="eastAsia" w:ascii="仿宋_GB2312" w:hAnsi="仿宋" w:eastAsia="仿宋_GB2312" w:cs="仿宋_GB2312"/>
          <w:b/>
          <w:bCs/>
          <w:color w:val="000000"/>
          <w:sz w:val="32"/>
          <w:szCs w:val="32"/>
        </w:rPr>
        <w:t>一是增收压力大。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在国家减税降费等政策影响下，政策性减收导致全区税收减少，同时部分企业生产形势低迷，部门重点项目推进缓慢，缺少新的财税收入增长点，支柱行业和传统产业税收增长乏力。</w:t>
      </w:r>
      <w:r>
        <w:rPr>
          <w:rFonts w:hint="eastAsia" w:ascii="仿宋_GB2312" w:hAnsi="仿宋" w:eastAsia="仿宋_GB2312" w:cs="仿宋_GB2312"/>
          <w:b/>
          <w:bCs/>
          <w:color w:val="000000"/>
          <w:sz w:val="32"/>
          <w:szCs w:val="32"/>
        </w:rPr>
        <w:t>二是支出刚性强。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公共财政保障范围不断扩大，需要保障、配套或兜底的事项逐渐增加，财政保运转、保民生、促发展的支出压力明显加大，造成较大支出缺口，财政筹资任务艰巨。</w:t>
      </w:r>
      <w:r>
        <w:rPr>
          <w:rFonts w:hint="eastAsia" w:ascii="仿宋_GB2312" w:hAnsi="仿宋" w:eastAsia="仿宋_GB2312" w:cs="仿宋_GB2312"/>
          <w:b/>
          <w:bCs/>
          <w:color w:val="000000"/>
          <w:sz w:val="32"/>
          <w:szCs w:val="32"/>
        </w:rPr>
        <w:t>三是债管责任重。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防范金融风险，有序化解政府债务风险、坚决遏制隐性债务依旧是政府债务管理的重中之重。这些问题和困难，需在工作中积极应对，逐步化解难题。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ascii="黑体" w:hAnsi="黑体" w:eastAsia="黑体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三、下半年工作思路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eastAsia="仿宋_GB2312" w:cs="仿宋_GB2312"/>
          <w:color w:val="000000"/>
          <w:sz w:val="32"/>
          <w:szCs w:val="32"/>
        </w:rPr>
        <w:t>下半年面临的任务很重，困难也多，为确保今年的各项财政工作任务的顺利完成，我们将继续克难攻坚，砥砺奋进，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着重做好以下四方面工作：</w:t>
      </w:r>
      <w:r>
        <w:rPr>
          <w:rFonts w:ascii="仿宋_GB2312" w:eastAsia="仿宋_GB2312" w:cs="仿宋_GB2312"/>
          <w:color w:val="000000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（一）在支持经济高质量发展上做文章。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加强税收收入征管，做好重点财源税源的增收挖潜工作，提高财政收支预测水平。拟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牵头出台我区税收网格化管理和服务实施办法，将巩固传统税源与培育新兴税源相结合，培植一批新的税源增长点，实施税源网格化管理。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拟成立政银助企担保公司，缓解区内企业担保难问题，防范担保链风险，大力扶持我区中小企业稳定发展。支持实体经济做大做强，严格落实减税降费政策，加强政策宣传，指导企业用好用足财税、土地、金融等扶持政策，扶持我区税源企业做大、做强、做优，为加快建设新时代“两个健康”先行区、国家自创区、国家高新区协同发展提供持续稳定的财力保障。</w:t>
      </w:r>
    </w:p>
    <w:p>
      <w:pPr>
        <w:keepNext w:val="0"/>
        <w:keepLines w:val="0"/>
        <w:pageBreakBefore w:val="0"/>
        <w:tabs>
          <w:tab w:val="left" w:pos="666"/>
        </w:tabs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_GB2312" w:eastAsia="仿宋_GB2312" w:cs="Times New Roman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（二）在加强民生保障上见成效。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年拟计划安排财政建设资金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35.81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亿元，重点保障教育、医疗、交通、保障性住房、乡村振兴等项目建设支出。从紧从严控制一般性支出，加大结余资金清理及统筹安排力度。进一步做好预算指标分解下达，在保证资金拨付安全、规范的前提下，精简单位用款审批手续，加快资金拨付流程。切实做好城乡居民基本医疗保险缴费工作，确保城乡居民基本医疗保险工作稳步推进，逐步提高群众生活品质及幸福感。全年计划投入民生实事项目资金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5.62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亿元，涉及项目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12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个。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640" w:firstLineChars="200"/>
        <w:jc w:val="both"/>
        <w:textAlignment w:val="auto"/>
        <w:outlineLvl w:val="9"/>
        <w:rPr>
          <w:rFonts w:ascii="仿宋_GB2312" w:hAnsi="仿宋_GB2312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kern w:val="2"/>
          <w:sz w:val="32"/>
          <w:szCs w:val="32"/>
        </w:rPr>
        <w:t>（三）在继续深化财政体制改革上下功夫。</w:t>
      </w:r>
      <w:r>
        <w:rPr>
          <w:rFonts w:hint="eastAsia" w:ascii="仿宋_GB2312" w:hAnsi="仿宋_GB2312" w:eastAsia="仿宋_GB2312" w:cs="仿宋_GB2312"/>
          <w:color w:val="000000"/>
          <w:kern w:val="2"/>
          <w:sz w:val="32"/>
          <w:szCs w:val="32"/>
        </w:rPr>
        <w:t>深化和完善国库集中支付改革，规范和简化业务流程，借鉴、探索、完善相关制度和机制，加强财政资金安全管理。深化部门预算改革，加强对预算指标拨付的监督和使用管理，落实区街财政体制，强化动态监控，规范财政资金支付。加强财政监督管理，积极应用“双随机”抽查管理系统，出台区级全面实施预算绩效管理意见和行动计划。推进财政票据电子化改革，按时完成新旧财政票据转换工作，做到财政电子票据一站式查询、真伪查验和报销入账，保障个人所得税改革顺利实施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规范政府资产管理，建立国有资产报告制度，摸清各类国有资产底数，并向区人大常委会报告，为强化监管打下基础。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ascii="仿宋_GB2312" w:eastAsia="仿宋_GB2312" w:cs="Times New Roman"/>
          <w:color w:val="000000"/>
          <w:sz w:val="32"/>
          <w:szCs w:val="32"/>
        </w:rPr>
      </w:pPr>
      <w:r>
        <w:rPr>
          <w:rFonts w:hint="eastAsia" w:ascii="楷体_GB2312" w:hAnsi="楷体_GB2312" w:eastAsia="楷体_GB2312" w:cs="楷体_GB2312"/>
          <w:color w:val="000000"/>
          <w:sz w:val="32"/>
          <w:szCs w:val="32"/>
        </w:rPr>
        <w:t>（四）在加强债务管理拓宽融资渠道上出实招。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严防新增政府隐性债务情况发生，加快政府债务置换工作，提高资金效益，督促各融资主体按照年初融资任务落实资金到位，确保我区政府投资计划顺利推进。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年度将化解地方政府隐性债务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48.55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亿元。</w:t>
      </w: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同时，通过整合现有的融资平台，积极推进区级融资平台公司市场化运作，剥离平台公司政府融资职能，并继续发挥转型后的企业对经济发展的积极作用。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" w:eastAsia="仿宋_GB2312" w:cs="Times New Roman"/>
          <w:color w:val="000000"/>
          <w:sz w:val="32"/>
          <w:szCs w:val="32"/>
        </w:rPr>
      </w:pPr>
      <w:r>
        <w:rPr>
          <w:rFonts w:ascii="仿宋_GB2312" w:hAnsi="仿宋" w:eastAsia="仿宋_GB2312" w:cs="仿宋_GB2312"/>
          <w:color w:val="000000"/>
          <w:sz w:val="32"/>
          <w:szCs w:val="32"/>
        </w:rPr>
        <w:t>2019</w:t>
      </w:r>
      <w:r>
        <w:rPr>
          <w:rFonts w:hint="eastAsia" w:ascii="仿宋_GB2312" w:hAnsi="仿宋" w:eastAsia="仿宋_GB2312" w:cs="仿宋_GB2312"/>
          <w:color w:val="000000"/>
          <w:sz w:val="32"/>
          <w:szCs w:val="32"/>
        </w:rPr>
        <w:t>年财政改革发展任务艰巨、责任重大，但我们将在区委的坚强领导下，自觉接受人大指导监督，虚心听取政协意见建议，进一步提高政治站位，增强服务意识，提升谋划能力，为“两个健康”先行区创建和国家自主创新示范区建设不懈奋斗！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640" w:firstLineChars="200"/>
        <w:textAlignment w:val="auto"/>
        <w:outlineLvl w:val="9"/>
        <w:rPr>
          <w:rFonts w:ascii="仿宋_GB2312" w:hAnsi="仿宋" w:eastAsia="仿宋_GB2312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/>
        <w:textAlignment w:val="auto"/>
        <w:outlineLvl w:val="9"/>
        <w:rPr>
          <w:rFonts w:ascii="仿宋_GB2312" w:hAnsi="仿宋_GB2312" w:eastAsia="仿宋_GB2312" w:cs="Times New Roman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附件：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1.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龙湾区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年上半年一般公共预算收入执行情况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960" w:firstLineChars="300"/>
        <w:textAlignment w:val="auto"/>
        <w:outlineLvl w:val="9"/>
        <w:rPr>
          <w:rFonts w:ascii="仿宋_GB2312" w:hAnsi="仿宋_GB2312" w:eastAsia="仿宋_GB2312" w:cs="Times New Roman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2.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龙湾区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年上半年一般公共预算支出执行情况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902" w:firstLineChars="293"/>
        <w:textAlignment w:val="auto"/>
        <w:outlineLvl w:val="9"/>
        <w:rPr>
          <w:rFonts w:ascii="仿宋_GB2312" w:hAnsi="仿宋_GB2312" w:eastAsia="仿宋_GB2312" w:cs="Times New Roman"/>
          <w:color w:val="000000"/>
          <w:spacing w:val="-6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pacing w:val="-6"/>
          <w:sz w:val="32"/>
          <w:szCs w:val="32"/>
        </w:rPr>
        <w:t>3.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  <w:t>龙湾区</w:t>
      </w:r>
      <w:r>
        <w:rPr>
          <w:rFonts w:ascii="仿宋_GB2312" w:hAnsi="仿宋_GB2312" w:eastAsia="仿宋_GB2312" w:cs="仿宋_GB2312"/>
          <w:color w:val="000000"/>
          <w:spacing w:val="-6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color w:val="000000"/>
          <w:spacing w:val="-6"/>
          <w:sz w:val="32"/>
          <w:szCs w:val="32"/>
        </w:rPr>
        <w:t>年上半年一般公共预算区本级支出执行情况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937" w:firstLineChars="293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4.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龙湾区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年上半年一般公共预算区本级基本支出执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937" w:firstLineChars="293"/>
        <w:textAlignment w:val="auto"/>
        <w:outlineLvl w:val="9"/>
        <w:rPr>
          <w:rFonts w:ascii="仿宋_GB2312" w:hAns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行情况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937" w:firstLineChars="293"/>
        <w:textAlignment w:val="auto"/>
        <w:outlineLvl w:val="9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5.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龙湾区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年上半年一般公共预算支出转移支付执行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937" w:firstLineChars="293"/>
        <w:textAlignment w:val="auto"/>
        <w:outlineLvl w:val="9"/>
        <w:rPr>
          <w:rFonts w:ascii="仿宋_GB2312" w:hAnsi="仿宋_GB2312" w:eastAsia="仿宋_GB2312" w:cs="Times New Roman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960" w:firstLineChars="300"/>
        <w:textAlignment w:val="auto"/>
        <w:outlineLvl w:val="9"/>
        <w:rPr>
          <w:rFonts w:ascii="仿宋_GB2312" w:hAnsi="仿宋_GB2312" w:eastAsia="仿宋_GB2312" w:cs="Times New Roman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6.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龙湾区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年上半年政府性基金收入执行情况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937" w:firstLineChars="293"/>
        <w:textAlignment w:val="auto"/>
        <w:outlineLvl w:val="9"/>
        <w:rPr>
          <w:rFonts w:ascii="仿宋_GB2312" w:hAnsi="仿宋_GB2312" w:eastAsia="仿宋_GB2312" w:cs="Times New Roman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7.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龙湾区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年上半年政府性基金支出执行情况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937" w:firstLineChars="293"/>
        <w:textAlignment w:val="auto"/>
        <w:outlineLvl w:val="9"/>
        <w:rPr>
          <w:rFonts w:ascii="仿宋_GB2312" w:hAnsi="仿宋_GB2312" w:eastAsia="仿宋_GB2312" w:cs="Times New Roman"/>
          <w:color w:val="000000"/>
          <w:sz w:val="32"/>
          <w:szCs w:val="32"/>
        </w:r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8.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龙湾区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年上半年政府性基金转移支付执行情况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40" w:lineRule="exact"/>
        <w:ind w:left="0" w:leftChars="0" w:right="0" w:rightChars="0" w:firstLine="937" w:firstLineChars="293"/>
        <w:textAlignment w:val="auto"/>
        <w:outlineLvl w:val="9"/>
        <w:rPr>
          <w:rFonts w:ascii="仿宋_GB2312" w:hAnsi="仿宋_GB2312" w:eastAsia="仿宋_GB2312" w:cs="Times New Roman"/>
          <w:color w:val="000000"/>
          <w:sz w:val="32"/>
          <w:szCs w:val="32"/>
        </w:rPr>
        <w:sectPr>
          <w:footerReference r:id="rId3" w:type="default"/>
          <w:pgSz w:w="11906" w:h="16838"/>
          <w:pgMar w:top="2098" w:right="1474" w:bottom="1984" w:left="1588" w:header="851" w:footer="1417" w:gutter="0"/>
          <w:pgNumType w:fmt="numberInDash"/>
          <w:cols w:space="0" w:num="1"/>
          <w:rtlGutter w:val="0"/>
          <w:docGrid w:type="lines" w:linePitch="312" w:charSpace="0"/>
        </w:sectPr>
      </w:pPr>
      <w:r>
        <w:rPr>
          <w:rFonts w:ascii="仿宋_GB2312" w:hAnsi="仿宋_GB2312" w:eastAsia="仿宋_GB2312" w:cs="仿宋_GB2312"/>
          <w:color w:val="000000"/>
          <w:sz w:val="32"/>
          <w:szCs w:val="32"/>
        </w:rPr>
        <w:t>9.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龙湾区</w:t>
      </w:r>
      <w:r>
        <w:rPr>
          <w:rFonts w:ascii="仿宋_GB2312" w:hAnsi="仿宋_GB2312" w:eastAsia="仿宋_GB2312" w:cs="仿宋_GB2312"/>
          <w:color w:val="000000"/>
          <w:sz w:val="32"/>
          <w:szCs w:val="32"/>
        </w:rPr>
        <w:t>2019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年上半年“三公”经费预算执行情况</w:t>
      </w:r>
    </w:p>
    <w:p>
      <w:pPr>
        <w:spacing w:line="56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1</w:t>
      </w:r>
    </w:p>
    <w:tbl>
      <w:tblPr>
        <w:tblStyle w:val="7"/>
        <w:tblW w:w="833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551"/>
        <w:gridCol w:w="1347"/>
        <w:gridCol w:w="1208"/>
        <w:gridCol w:w="1650"/>
        <w:gridCol w:w="1580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8336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Times New Roman"/>
                <w:color w:val="000000"/>
                <w:sz w:val="36"/>
                <w:szCs w:val="36"/>
              </w:rPr>
            </w:pPr>
            <w:r>
              <w:rPr>
                <w:rFonts w:hint="eastAsia" w:ascii="创艺简标宋" w:hAnsi="创艺简标宋" w:eastAsia="创艺简标宋" w:cs="创艺简标宋"/>
                <w:color w:val="000000"/>
                <w:kern w:val="0"/>
                <w:sz w:val="36"/>
                <w:szCs w:val="36"/>
              </w:rPr>
              <w:t>龙湾区</w:t>
            </w:r>
            <w:r>
              <w:rPr>
                <w:rFonts w:ascii="创艺简标宋" w:hAnsi="创艺简标宋" w:eastAsia="创艺简标宋" w:cs="创艺简标宋"/>
                <w:color w:val="000000"/>
                <w:kern w:val="0"/>
                <w:sz w:val="36"/>
                <w:szCs w:val="36"/>
              </w:rPr>
              <w:t>2019</w:t>
            </w:r>
            <w:r>
              <w:rPr>
                <w:rFonts w:hint="eastAsia" w:ascii="创艺简标宋" w:hAnsi="创艺简标宋" w:eastAsia="创艺简标宋" w:cs="创艺简标宋"/>
                <w:color w:val="000000"/>
                <w:kern w:val="0"/>
                <w:sz w:val="36"/>
                <w:szCs w:val="36"/>
              </w:rPr>
              <w:t>年上半年一般公共预算收入执行情况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36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ind w:firstLine="7260" w:firstLineChars="3300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目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年预算数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上半年执行数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完成预算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同比增长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+-%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财政总收入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522425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300850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57.6%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17.6%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 w:firstLineChars="100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一、一般公共预算收入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306811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182015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59.3%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20.9%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（一）税收收入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275411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153032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55.6%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15.8%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0" w:firstLineChars="300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增值税（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50%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155966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67449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43.2%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-7.5%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0" w:firstLineChars="300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企业所得税（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40%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27065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28371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104.8%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100.1%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个人所得税（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40%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11800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5802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49.2%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-16.4%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资源税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6.1%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7.9%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0" w:firstLineChars="300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城市维护建设税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23472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10402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44.3%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-4.9%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0" w:firstLineChars="300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房产税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14962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10935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73.1%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8.8%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0" w:firstLineChars="300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印花税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6289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2473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39.3%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-2.6%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城镇土地使用税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4906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3843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78.3%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18.1%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土地增值税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24879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19500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78.4%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124.9%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车船税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1515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2146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141.7%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137.8%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耕地占用税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3198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1713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53.6%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4.7%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环境保护税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1000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376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37.6%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197.3%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00" w:firstLineChars="200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（二）非税收入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31400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28983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92.3%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57.7%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0" w:firstLineChars="300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专项收入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15800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7445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47.1%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1.2%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行政事业性收费收入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5500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3044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55.3%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-31.5%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0" w:firstLineChars="300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罚没收入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5500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21.8%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-14.3%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0" w:firstLineChars="300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国有资本经营收入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国有资源（资产）有偿使用收入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3300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15294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463.5%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195.5%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政府住房基金收入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1300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 w:firstLineChars="100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二、上划中央“四税”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215614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118835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55.1%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12.8%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0" w:firstLineChars="300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消费税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(100%)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1350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127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9.4%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-84.1%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增值税（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50%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155966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67449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43.2%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-6.1%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企业所得税（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60%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40598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42557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104.8%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100.1%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55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个人所得税（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60%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）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17700</w:t>
            </w:r>
          </w:p>
        </w:tc>
        <w:tc>
          <w:tcPr>
            <w:tcW w:w="12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8702</w:t>
            </w:r>
          </w:p>
        </w:tc>
        <w:tc>
          <w:tcPr>
            <w:tcW w:w="1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49.2%</w:t>
            </w:r>
          </w:p>
        </w:tc>
        <w:tc>
          <w:tcPr>
            <w:tcW w:w="15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-16.4%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2</w:t>
      </w:r>
    </w:p>
    <w:tbl>
      <w:tblPr>
        <w:tblStyle w:val="7"/>
        <w:tblW w:w="9195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58"/>
        <w:gridCol w:w="1724"/>
        <w:gridCol w:w="1064"/>
        <w:gridCol w:w="1724"/>
        <w:gridCol w:w="222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9195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ascii="Cambria" w:hAnsi="Cambria" w:eastAsia="Times New Roman" w:cs="Times New Roman"/>
                <w:color w:val="000000"/>
                <w:sz w:val="44"/>
                <w:szCs w:val="44"/>
              </w:rPr>
            </w:pPr>
            <w:r>
              <w:rPr>
                <w:rStyle w:val="11"/>
                <w:rFonts w:eastAsia="宋体"/>
              </w:rPr>
              <w:t xml:space="preserve"> </w:t>
            </w:r>
            <w:r>
              <w:rPr>
                <w:rFonts w:ascii="创艺简标宋" w:hAnsi="创艺简标宋" w:eastAsia="创艺简标宋" w:cs="创艺简标宋"/>
                <w:color w:val="000000"/>
                <w:kern w:val="0"/>
                <w:sz w:val="36"/>
                <w:szCs w:val="36"/>
              </w:rPr>
              <w:t xml:space="preserve"> </w:t>
            </w:r>
            <w:r>
              <w:rPr>
                <w:rFonts w:hint="eastAsia" w:ascii="创艺简标宋" w:hAnsi="创艺简标宋" w:eastAsia="创艺简标宋" w:cs="创艺简标宋"/>
                <w:color w:val="000000"/>
                <w:kern w:val="0"/>
                <w:sz w:val="36"/>
                <w:szCs w:val="36"/>
              </w:rPr>
              <w:t>龙湾区</w:t>
            </w:r>
            <w:r>
              <w:rPr>
                <w:rFonts w:ascii="创艺简标宋" w:hAnsi="创艺简标宋" w:eastAsia="创艺简标宋" w:cs="创艺简标宋"/>
                <w:color w:val="000000"/>
                <w:kern w:val="0"/>
                <w:sz w:val="36"/>
                <w:szCs w:val="36"/>
              </w:rPr>
              <w:t>2019</w:t>
            </w:r>
            <w:r>
              <w:rPr>
                <w:rFonts w:hint="eastAsia" w:ascii="创艺简标宋" w:hAnsi="创艺简标宋" w:eastAsia="创艺简标宋" w:cs="创艺简标宋"/>
                <w:color w:val="000000"/>
                <w:kern w:val="0"/>
                <w:sz w:val="36"/>
                <w:szCs w:val="36"/>
              </w:rPr>
              <w:t>年上半年一般公共预算支出执行情况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8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064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年预算数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上半年执行数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完成预算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同比增长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+-%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一般公共预算支出合计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348753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185667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53.2%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23.3%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一般公共服务支出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52000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31498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60.6%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20.5%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国防支出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113.7%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公共安全支出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35949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20071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55.8%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15.8%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教育支出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70645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44141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62.5%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67.1%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科学技术支出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20928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15998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76.4%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42.2%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文化旅游体育与传媒支出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6950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2953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42.5%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30.2%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社会保障和就业支出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26600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12126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45.6%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21.4%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卫生健康支出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33000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20779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63.0%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2.4%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节能环保支出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5300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3171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59.8%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10.9%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城乡社区支出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34500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17009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49.3%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-2.1%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农林水支出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13500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6154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45.6%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42.6%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交通运输支出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4670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1882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40.3%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19.1%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资源勘探信息等支出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4500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1226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27.2%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-39.5%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商业服务业等支出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2570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486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18.9%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-72.1%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金融支出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4.7%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援助其他地区支出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1450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1099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75.8%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-18.8%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自然资源海洋气象等支出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3570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820.7%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1157.0%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住房保障支出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22093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2016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9.1%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-60.8%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灾害防治及应急管理支出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1138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37.9%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其他支出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类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2900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288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9.9%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56.5%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债务付息支出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7607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债务发行费用支出</w:t>
            </w: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0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7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2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3</w:t>
      </w:r>
    </w:p>
    <w:tbl>
      <w:tblPr>
        <w:tblStyle w:val="7"/>
        <w:tblW w:w="833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"/>
        <w:gridCol w:w="2283"/>
        <w:gridCol w:w="319"/>
        <w:gridCol w:w="1272"/>
        <w:gridCol w:w="1312"/>
        <w:gridCol w:w="1337"/>
        <w:gridCol w:w="1703"/>
        <w:gridCol w:w="10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90" w:hRule="atLeast"/>
        </w:trPr>
        <w:tc>
          <w:tcPr>
            <w:tcW w:w="8336" w:type="dxa"/>
            <w:gridSpan w:val="8"/>
            <w:vAlign w:val="center"/>
          </w:tcPr>
          <w:p>
            <w:pPr>
              <w:widowControl/>
              <w:jc w:val="center"/>
              <w:textAlignment w:val="center"/>
              <w:rPr>
                <w:rFonts w:ascii="创艺简标宋" w:hAnsi="创艺简标宋" w:eastAsia="创艺简标宋" w:cs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ascii="创艺简标宋" w:hAnsi="创艺简标宋" w:eastAsia="创艺简标宋" w:cs="创艺简标宋"/>
                <w:color w:val="000000"/>
                <w:kern w:val="0"/>
                <w:sz w:val="36"/>
                <w:szCs w:val="36"/>
              </w:rPr>
              <w:t xml:space="preserve">   </w:t>
            </w:r>
            <w:r>
              <w:rPr>
                <w:rFonts w:hint="eastAsia" w:ascii="创艺简标宋" w:hAnsi="创艺简标宋" w:eastAsia="创艺简标宋" w:cs="创艺简标宋"/>
                <w:color w:val="000000"/>
                <w:kern w:val="0"/>
                <w:sz w:val="36"/>
                <w:szCs w:val="36"/>
              </w:rPr>
              <w:t>龙湾区</w:t>
            </w:r>
            <w:r>
              <w:rPr>
                <w:rFonts w:ascii="创艺简标宋" w:hAnsi="创艺简标宋" w:eastAsia="创艺简标宋" w:cs="创艺简标宋"/>
                <w:color w:val="000000"/>
                <w:kern w:val="0"/>
                <w:sz w:val="36"/>
                <w:szCs w:val="36"/>
              </w:rPr>
              <w:t>2019</w:t>
            </w:r>
            <w:r>
              <w:rPr>
                <w:rFonts w:hint="eastAsia" w:ascii="创艺简标宋" w:hAnsi="创艺简标宋" w:eastAsia="创艺简标宋" w:cs="创艺简标宋"/>
                <w:color w:val="000000"/>
                <w:kern w:val="0"/>
                <w:sz w:val="36"/>
                <w:szCs w:val="36"/>
              </w:rPr>
              <w:t>年上半年一般公共预算区本级支出执行情况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88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591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808" w:type="dxa"/>
            <w:gridSpan w:val="2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科目名称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年预算数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上半年执行数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完成预算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同比增长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+-%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一般公共预算支出合计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348753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185667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53.2%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23.3%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一般公共服务支出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52000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31498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60.6%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20.5%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人大事务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1433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1054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73.6%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21.7%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1100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748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68.0%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18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20.7%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人大会议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68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97.1%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人大监督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75.0%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495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人大代表履职能力提升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51.2%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代表工作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95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593.8%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95.2%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其他人大事务支出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政协事务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1531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1008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65.8%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10.9%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1230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847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68.9%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6.9%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政协会议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57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87.7%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委员视察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8.8%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115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95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82.6%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495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政府办公厅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室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及相关机构事务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21723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11956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55.0%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34.5%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5500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2367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43.0%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1533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709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46.2%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机关服务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5180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1592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30.7%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专项业务活动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信访事务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487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136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27.9%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8025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6392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79.7%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495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其他政府办公厅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室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及相关机构事务支出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998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759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76.1%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发展与改革事务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1127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862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76.5%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33.0%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510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337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66.1%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85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69.1%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战略规划与实施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29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物价管理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11.1%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426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401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94.1%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其他发展与改革事务支出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16.0%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统计信息事务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1008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665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66.0%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30.6%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540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418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77.4%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65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32.5%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专项统计业务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专项普查活动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36.9%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190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158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83.2%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495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其他统计信息事务支出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财政事务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2245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1164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51.8%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12.5%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1015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665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65.5%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677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160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23.6%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信息化建设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253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27.7%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269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89.7%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其他财政事务支出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税收事务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2184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2200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100.7%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99.1%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300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2184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1900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87.0%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审计事务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811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440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54.3%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13.7%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354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93.2%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审计业务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375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84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22.4%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审计管理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信息化建设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人力资源事务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475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86.3%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引进人才费用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475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纪检监察事务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2801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1859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66.4%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8.0%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2458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1764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71.8%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298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44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14.8%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27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87.1%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495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其他纪检监察事务支出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24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171.4%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商贸事务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778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620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79.7%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-45.8%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284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79.1%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312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237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76.0%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对外贸易管理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18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66.7%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81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101.3%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民族事务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270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729.7%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51.7%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170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民族工作专项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5.9%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99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其他民族事务支出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港澳台侨事务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-100.0%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台湾事务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495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其他港澳台侨事务支出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群众团体事务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1674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725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43.3%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-1.6%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730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343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47.0%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562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117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20.8%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336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265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78.9%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495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其他群众团体事务支出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495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党委办公厅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室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及相关机构事务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4114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2133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51.8%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10.3%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2058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1396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67.8%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657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109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16.6%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专项业务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649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16.9%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680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509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74.9%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495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其他党委办公厅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室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及相关机构事务支出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12.9%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组织事务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1586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804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50.7%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5.9%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750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502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66.9%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365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68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18.6%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167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160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95.8%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其他组织事务支出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304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74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24.3%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宣传事务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1463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541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37.0%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-25.1%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351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61.6%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787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96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12.2%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94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88.7%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统战事务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1326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672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50.7%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20.9%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631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427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67.7%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48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31.6%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宗教事务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389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3.9%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149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96.8%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其他统战事务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33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市场监督管理事务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6122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4049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66.1%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44.9%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3700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2634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71.2%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386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75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19.4%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市场监管执法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消费者权益保护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1409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1001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71.0%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495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其他市场监督管理事务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622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316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50.8%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495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其他一般公共服务支出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9.1%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495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其他一般公共服务支出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9.1%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国防支出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58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113.7%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国防动员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58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123.4%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边海防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58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123.4%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其他国防支出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其他国防支出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项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公共安全支出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35949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20071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55.8%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15.8%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武装警察部队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64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-88.1%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武装警察部队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495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其他武装警察部队支出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60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公安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22956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12325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53.7%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36.8%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12500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9102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72.8%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2197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725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33.0%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信息化建设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2804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22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0.8%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执法办案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4456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特别业务费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421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93.6%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其他公安支出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459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2055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447.7%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检察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3721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2312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62.1%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-2.9%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2850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1826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64.1%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257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57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22.2%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384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343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89.3%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其他检察支出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86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37.4%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法院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6028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3353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55.6%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0.1%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3950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2419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61.2%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465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170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36.6%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660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607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92.0%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其他法院支出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953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157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16.5%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司法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1614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983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60.9%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-28.3%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1200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811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67.6%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基层司法业务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普法宣传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34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48.6%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法律援助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51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56.7%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社区矫正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11.1%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44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97.8%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其他司法支出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11.4%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495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其他公共安全支出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1630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1034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63.4%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51.2%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495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其他公共安全支出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项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1630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1034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63.4%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教育支出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70645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44141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62.5%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67.1%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教育管理事务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4017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2683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66.8%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1.1%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3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2350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1476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62.8%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197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128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65.0%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495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其他教育管理事务支出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1470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1079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73.4%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普通教育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60319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35878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59.5%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62.6%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学前教育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5900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3607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61.1%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小学教育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28870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20191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69.9%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初中教育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17439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10301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59.1%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高中教育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993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33100.0%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其他普通教育支出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8107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786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9.7%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职业教育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3428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1532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44.7%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4.6%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中专教育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职业高中教育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3368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1527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45.3%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其他职业教育支出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166.7%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495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教育费附加安排的支出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2821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4038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143.1%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1804.7%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495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其他教育费附加安排的支出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2821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4038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143.1%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其他教育支出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16.7%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-56.5%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其他教育支出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项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16.7%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科学技术支出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20928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15998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76.4%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42.2%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科学技术管理事务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3211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1736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54.1%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138.5%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2519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1474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58.5%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99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495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其他科学技术管理事务支出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692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163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23.6%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技术研究与开发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13917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11734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84.3%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17.1%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应用技术研究与开发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982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375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38.2%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495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其他技术研究与开发支出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12935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11359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87.8%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社会科学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社会科学研究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科学技术普及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56.8%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25.0%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机构运行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149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76.4%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科普活动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26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19.4%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495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其他科学技术普及支出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25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108.7%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其他科学技术支出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3446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2328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67.6%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572.8%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科技奖励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1060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266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25.1%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其他科学技术支出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2386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2062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86.4%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495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文化旅游体育与传媒支出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6950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2953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42.5%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30.2%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文化和旅游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4426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2050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46.3%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-3.0%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828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438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52.9%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图书馆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728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398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54.7%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群众文化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306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293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95.8%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文化创作与保护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16.7%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文化和旅游市场管理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旅游行业业务管理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227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3.1%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其他文化和旅游支出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2306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910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39.5%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文物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471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170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36.1%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9.7%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文物保护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174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博物馆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292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168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57.5%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体育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1078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369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34.2%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-14.4%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247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176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71.3%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运动项目管理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26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68.4%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体育竞赛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291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64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22.0%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体育训练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83.3%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体育场馆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群众体育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18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10.1%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体育交流与合作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其他体育支出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255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45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17.6%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新闻出版电影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新闻通讯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版权管理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其他广播电视支出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495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其他文化体育与传媒支出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916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364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39.7%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240.2%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495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其他文化体育与传媒支出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项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916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364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39.7%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社会保障和就业支出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26600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12126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45.6%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21.4%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495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人力资源和社会保障管理事务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3171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2056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64.8%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11.1%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2605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1894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72.7%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71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36.2%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机关服务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3.4%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就业管理事务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18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社会保险经办机构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39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39.0%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495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其他人力资源和社会保障管理事务支出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212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32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15.1%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民政管理事务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3674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1407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38.3%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3.7%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1188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827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69.6%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31.8%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民间组织管理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17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48.6%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行政区划和地名管理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55.0%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基层政权和社区建设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1805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229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12.7%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495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其他民政管理事务支出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582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309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53.1%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行政事业单位离退休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9516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4335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45.6%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8.2%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495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机关事业单位基本养老保险缴费支出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6807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3067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45.1%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495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机关事业单位职业年金缴费支出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2704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1264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46.7%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495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其他行政事业单位离退休支出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就业补助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8.3%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100.0%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其他就业补助支出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8.3%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抚恤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1223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928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75.9%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350.5%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死亡抚恤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495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在乡复员、退伍军人生活补助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596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义务兵优待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556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其他优抚支出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627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345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55.0%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退役安置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3.7%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-27.8%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退役士兵安置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4.3%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退役士兵管理教育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社会福利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1394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404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29.0%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54.2%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儿童福利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269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68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25.3%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老年福利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965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287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29.7%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殡葬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43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47.8%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其他社会福利支出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8.6%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残疾人事业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2283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976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42.8%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59.2%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188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146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77.7%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780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176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22.6%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残疾人康复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75.0%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残疾人就业和扶贫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15.2%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495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残疾人生活和护理补贴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949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526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55.4%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其他残疾人事业支出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280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103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36.8%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自然灾害生活救助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289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495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中央自然灾害生活补助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164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495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地方自然灾害生活补助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红十字事业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217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166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76.5%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822.2%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152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145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95.4%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21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32.3%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最低生活保障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2116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645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30.5%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40.2%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495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城市最低生活保障金支出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142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495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农村最低生活保障金支出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1974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645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32.7%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临时救助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209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46.4%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945.0%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临时救助支出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450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209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46.4%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Style w:val="14"/>
                <w:rFonts w:hAnsi="宋体"/>
              </w:rPr>
              <w:t xml:space="preserve">    </w:t>
            </w:r>
            <w:r>
              <w:rPr>
                <w:rStyle w:val="15"/>
                <w:rFonts w:hint="eastAsia" w:hAnsi="宋体"/>
              </w:rPr>
              <w:t>特困人员救助供养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495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农村特困人员救助供养支出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其他生活救助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147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-100.0%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其他城市生活救助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其他农村生活救助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145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退役军人管理事务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48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拥军优属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47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39.2%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495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其他社会保障和就业支出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1527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917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60.1%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-12.2%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495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其他社会保障和就业支出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项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1527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917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60.1%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卫生健康支出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33000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20779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63.0%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2.4%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卫生健康管理事务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2716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2428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89.4%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174.0%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1883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2393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127.1%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32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495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其他卫生健康管理事务支出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431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0.7%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公立医院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3179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2365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74.4%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22.7%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综合医院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3099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2365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76.3%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其他公立医院支出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基层医疗卫生机构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4205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1450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34.5%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-36.1%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城市社区卫生机构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3146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1347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42.8%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495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其他基层医疗卫生机构支出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1059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103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9.7%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公共卫生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5719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2750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48.1%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-13.8%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疾病预防控制机构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1058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658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62.2%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卫生监督机构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647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71.5%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妇幼保健机构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1130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708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62.7%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基本公共卫生服务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1576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717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45.5%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重大公共卫生专项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216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9.3%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495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突发公共卫生事件应急处理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其他公共卫生支出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734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中医药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1297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305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23.5%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-55.7%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中医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民族医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)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药专项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1297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305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23.5%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计划生育事务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1813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480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26.5%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1820.0%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计划生育机构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27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46.6%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计划生育服务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849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453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53.4%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495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其他计划生育事务支出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行政事业单位医疗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3561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1539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43.2%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-23.8%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行政单位医疗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3133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1343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42.9%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事业单位医疗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428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196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45.8%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495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财政对基本医疗保险基金的补助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9201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9229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100.3%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1.3%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495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财政对城乡居民基本医疗保险基金的补助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9201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9229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100.3%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医疗救助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542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160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29.5%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73.9%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城乡医疗救助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542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160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29.5%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优抚对象医疗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73.2%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优抚对象医疗补助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73.2%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老龄卫生健康事务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3.3%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老龄卫生健康事务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3.3%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其他卫生健康支出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576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38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6.6%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15.2%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其他卫生健康支出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576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38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6.6%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节能环保支出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5300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3171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59.8%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10.9%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环境保护管理事务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2293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1666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72.7%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18.9%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2097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1651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78.7%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196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7.7%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环境监测与监察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161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6.8%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-75.6%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495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建设项目环评审查与监督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495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其他环境监测与监察支出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9.9%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污染防治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874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1125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128.7%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391.3%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大气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29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水体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1096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1635.8%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固体废弃物与化学品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其他污染防治支出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742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自然生态保护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57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14.2%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1.8%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生态保护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57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14.2%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495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其他节能环保支出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1570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312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19.9%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-72.3%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495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其他节能环保支出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项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1570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312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19.9%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After w:val="1"/>
          <w:wAfter w:w="105" w:type="dxa"/>
          <w:trHeight w:val="286" w:hRule="atLeast"/>
        </w:trPr>
        <w:tc>
          <w:tcPr>
            <w:tcW w:w="260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城乡社区支出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34500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17009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49.3%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-2.1%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城乡社区管理事务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17914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5407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30.2%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-46.0%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11429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4608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40.3%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649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329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50.7%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城管执法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806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467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57.9%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495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其他城乡社区管理事务支出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5030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495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城乡社区规划与管理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433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108.3%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68.5%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495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城乡社区规划与管理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项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433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108.3%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城乡社区公共设施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2971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123.4%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495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其他城乡社区公共设施支出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2971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495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城乡社区环境卫生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15060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4591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30.5%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-20.1%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495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城乡社区环境卫生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项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15060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4591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30.5%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495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其他城乡社区支出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1126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3607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320.3%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9392.1%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495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其他城乡社区支出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项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1126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3607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320.3%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农林水支出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13500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6154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45.6%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42.6%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农业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8408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4667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55.5%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101.9%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4059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1542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38.0%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48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26.7%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600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1148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191.3%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科技转化与推广服务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病虫害控制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1078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1122.9%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农产品质量安全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19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25.0%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执法监管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农业行业业务管理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17.2%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稳定农民收入补贴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51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农业生产支持补贴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495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农业组织化与产业化经营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160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53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33.1%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495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成品油价格改革对渔业的补贴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548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其他农业支出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2540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711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28.0%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林业和草原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337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116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34.4%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18.4%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森林资源管理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森林生态效益补偿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产业化管理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防灾减灾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111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106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95.5%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其他林业和草原支出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4.9%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水利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3393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993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29.3%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6.5%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817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3552.2%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水利行业业务管理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14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水利工程建设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水利工程运行与维护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179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1.1%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水利执法监督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水质监测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水文测报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6.7%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防汛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抗旱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农田水利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495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大中型水库移民后期扶持专项支出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125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14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11.2%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水利建设移民支出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其他水利支出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2500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131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5.2%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扶贫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155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127.0%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269.0%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其他扶贫支出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155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127.0%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农业综合开发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-100.0%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495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其他农业综合开发支出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农村综合改革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178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144.7%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-11.4%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495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对村级一事一议的补助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120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178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148.3%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495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其他农村综合改革支出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普惠金融发展支出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农业保险保费补贴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495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其他普惠金融发展支出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495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其他农林水事务支出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1023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45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4.4%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-89.4%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其他农林水支出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项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1023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45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4.4%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交通运输支出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4670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1882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40.3%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19.1%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公路水路运输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4424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1882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42.5%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27.2%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794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349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44.0%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6.1%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公路养护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322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35.5%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公路运输管理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495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其他公路水路运输支出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2615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1205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46.1%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495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成品油价格改革对交通运输的补贴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-100.0%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对城市公交的补贴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495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对农村道路客运的补贴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车辆购置税支出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495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车辆购置税用于公路等基础设施建设支出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资源勘探信息等支出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4500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1226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27.2%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-39.5%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工业和信息产业监管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1191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962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80.8%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1274.3%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976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780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79.9%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48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53.9%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工业和信息产业支持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134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150.6%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495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其他工业和信息产业监管支出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495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支持中小企业发展和管理支出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3294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264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-81.4%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中小企业发展专项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3294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264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495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其他资源勘探信息等支出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495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其他资源勘探信息等支出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项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商业服务业等支出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2570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486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18.9%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-59.6%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商业流通事务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514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279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54.3%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1.5%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380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268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70.5%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86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12.8%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495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其他商业流通事务支出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涉外发展服务支出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2055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9.7%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-77.0%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495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其他涉外发展服务支出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2055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9.7%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495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其他商业服务业等支出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700.0%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-87.9%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495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其他商业服务业等支出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项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7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700.0%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金融支出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4.7%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金融发展支出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16.7%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其他金融发展支出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16.7%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其他金融支出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其他金融支出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项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援助其他地区支出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1450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1099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75.8%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-18.8%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1450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1099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75.8%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495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自然资源海洋气象等支出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435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3570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820.7%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1157.0%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自然资源事务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301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3570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1186.0%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1179.6%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土地资源利用与保护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3336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4276.9%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自然资源调查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29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223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205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91.9%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海洋管理事务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-100.0%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一般行政管理事务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海洋环境保护与监测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海洋执法监察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495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其他海洋管理事务支出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住房保障支出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22093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2016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9.1%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-60.8%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保障性安居工程支出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17884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1665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9.3%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-31.4%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棚户区改造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16379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1575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9.6%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保障性住房租金补贴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195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89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45.6%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495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其他保障性安居工程支出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1310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0.1%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住房改革支出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4188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351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8.4%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-87.1%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4188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284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6.8%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购房补贴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67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城乡社区住宅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495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其他城乡社区住宅支出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495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灾害防治及应急管理支出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3000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1138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37.9%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应急管理事务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820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504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61.5%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行政运行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680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442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65.0%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安全监管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119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11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9.2%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事业运行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51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其他应急管理支出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消防事务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2051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621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30.3%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其他消防事务支出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2051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621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30.3%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自然灾害防治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地质灾害防治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9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自然灾害救灾及恢复重建支出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宋体" w:hAnsi="宋体" w:cs="宋体"/>
                <w:color w:val="000000"/>
                <w:kern w:val="0"/>
                <w:sz w:val="20"/>
                <w:szCs w:val="20"/>
              </w:rPr>
              <w:t>中央自然灾害生活补助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4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其他支出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类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2900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288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9.9%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56.5%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其他支出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款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2900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288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9.9%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其他支出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项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2900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宋体" w:cs="Times New Roman"/>
                <w:color w:val="000000"/>
                <w:sz w:val="20"/>
                <w:szCs w:val="20"/>
              </w:rPr>
            </w:pPr>
            <w:r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  <w:t xml:space="preserve">288 </w:t>
            </w: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9.9%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债务付息支出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7607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495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地方政府一般债务付息支出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7607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495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地方政府一般债券付息支出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7607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286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债务发行费用支出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gridAfter w:val="1"/>
          <w:wBefore w:w="5" w:type="dxa"/>
          <w:wAfter w:w="105" w:type="dxa"/>
          <w:trHeight w:val="495" w:hRule="atLeast"/>
        </w:trPr>
        <w:tc>
          <w:tcPr>
            <w:tcW w:w="26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地方政府一般债务发行费用支出</w:t>
            </w:r>
          </w:p>
        </w:tc>
        <w:tc>
          <w:tcPr>
            <w:tcW w:w="12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31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1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ind w:left="0" w:leftChars="0" w:right="0" w:rightChars="0" w:firstLine="0" w:firstLine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gridBefore w:val="1"/>
          <w:wBefore w:w="5" w:type="dxa"/>
          <w:trHeight w:val="286" w:hRule="atLeast"/>
        </w:trPr>
        <w:tc>
          <w:tcPr>
            <w:tcW w:w="8331" w:type="dxa"/>
            <w:gridSpan w:val="7"/>
            <w:tcBorders>
              <w:top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注：因龙湾区下属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个街道，无乡镇，所有支出均列为本级支出。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rPr>
          <w:rFonts w:ascii="仿宋_GB2312" w:hAnsi="仿宋_GB2312" w:eastAsia="仿宋_GB2312" w:cs="Times New Roman"/>
          <w:color w:val="000000"/>
          <w:sz w:val="32"/>
          <w:szCs w:val="32"/>
        </w:rPr>
      </w:pPr>
    </w:p>
    <w:p>
      <w:pPr>
        <w:spacing w:line="56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ascii="仿宋_GB2312" w:hAnsi="仿宋_GB2312" w:eastAsia="仿宋_GB2312" w:cs="Times New Roman"/>
          <w:color w:val="000000"/>
          <w:sz w:val="32"/>
          <w:szCs w:val="32"/>
        </w:rPr>
        <w:br w:type="page"/>
      </w: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4</w:t>
      </w:r>
    </w:p>
    <w:tbl>
      <w:tblPr>
        <w:tblStyle w:val="7"/>
        <w:tblW w:w="833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83"/>
        <w:gridCol w:w="1345"/>
        <w:gridCol w:w="1246"/>
        <w:gridCol w:w="1401"/>
        <w:gridCol w:w="2061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1" w:hRule="atLeast"/>
        </w:trPr>
        <w:tc>
          <w:tcPr>
            <w:tcW w:w="8336" w:type="dxa"/>
            <w:gridSpan w:val="5"/>
            <w:vAlign w:val="center"/>
          </w:tcPr>
          <w:p>
            <w:pPr>
              <w:widowControl/>
              <w:ind w:right="-19" w:rightChars="-9"/>
              <w:jc w:val="center"/>
              <w:textAlignment w:val="center"/>
              <w:rPr>
                <w:rFonts w:ascii="创艺简标宋" w:hAnsi="创艺简标宋" w:eastAsia="创艺简标宋" w:cs="Times New Roman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创艺简标宋" w:hAnsi="创艺简标宋" w:eastAsia="创艺简标宋" w:cs="创艺简标宋"/>
                <w:color w:val="000000"/>
                <w:kern w:val="0"/>
                <w:sz w:val="36"/>
                <w:szCs w:val="36"/>
              </w:rPr>
              <w:t>龙湾区</w:t>
            </w:r>
            <w:r>
              <w:rPr>
                <w:rFonts w:ascii="创艺简标宋" w:hAnsi="创艺简标宋" w:eastAsia="创艺简标宋" w:cs="创艺简标宋"/>
                <w:color w:val="000000"/>
                <w:kern w:val="0"/>
                <w:sz w:val="36"/>
                <w:szCs w:val="36"/>
              </w:rPr>
              <w:t>2019</w:t>
            </w:r>
            <w:r>
              <w:rPr>
                <w:rFonts w:hint="eastAsia" w:ascii="创艺简标宋" w:hAnsi="创艺简标宋" w:eastAsia="创艺简标宋" w:cs="创艺简标宋"/>
                <w:color w:val="000000"/>
                <w:kern w:val="0"/>
                <w:sz w:val="36"/>
                <w:szCs w:val="36"/>
              </w:rPr>
              <w:t>年上半年一般公共预算区本级基本支出执行情况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283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345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46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ind w:firstLine="880" w:firstLineChars="400"/>
              <w:jc w:val="lef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年预算数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上半年执行数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完成预算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同比增长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+-%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一、机关工资福利支出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70109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48919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69.8%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13.4%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工资奖金津补贴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43000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31000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72.1%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4.4%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社会保障缴费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12000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5653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47.1%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-0.1%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住房公积金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5647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2524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44.7%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-2.3%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</w:trPr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其他工资福利支出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9462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9742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103.0%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87.0%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二、机关商品和服务支出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7637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2908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38.1%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26.3%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办公经费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4300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1601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37.2%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-7.8%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会议费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25.0%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培训费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123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32.5%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-52.9%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专用材料购置费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委托业务费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2000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868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43.4%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398.9%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公务接待费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38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34.2%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44.4%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因公出国（境）费用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42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-100.0%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公务用车运行维护费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158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39.5%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3.9%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维修（护）费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230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18.7%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168.8%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其他商品和服务支出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180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36.0%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62.2%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三、机关资本性支出（一）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275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25.5%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9.4%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设备购置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250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28.0%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12.9%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大型修缮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其他资本性支出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四、对事业单位经常性补助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112313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65798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58.6%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10.0%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工资福利支出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104313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61815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59.3%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11.7%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商品服务支出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8000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3983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49.8%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-10.9%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五、对事业单位资本性补助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20.6%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-24.2%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资本性支出（一）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20.6%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-24.2%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六、对企业补助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680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217.6%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费用补贴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其他对企业补助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680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217.6%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七、对个人和家庭的补助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2465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862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35.0%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-12.7%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社会福利和救助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154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44.0%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25.2%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离退休费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15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626.7%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944.4%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其他对个人和家庭的补助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2100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614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29.2%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-28.3%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八、其他支出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Style w:val="16"/>
                <w:rFonts w:hint="eastAsia" w:hAnsi="宋体"/>
              </w:rPr>
              <w:t>　　</w:t>
            </w:r>
            <w:r>
              <w:rPr>
                <w:rStyle w:val="17"/>
                <w:rFonts w:hint="eastAsia" w:hAnsi="宋体"/>
              </w:rPr>
              <w:t>赠与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　　对民间非营利组织和群众性自治组织补贴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支出合计</w:t>
            </w:r>
          </w:p>
        </w:tc>
        <w:tc>
          <w:tcPr>
            <w:tcW w:w="13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193829</w:t>
            </w:r>
          </w:p>
        </w:tc>
        <w:tc>
          <w:tcPr>
            <w:tcW w:w="12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118654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62.0%</w:t>
            </w:r>
          </w:p>
        </w:tc>
        <w:tc>
          <w:tcPr>
            <w:tcW w:w="20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Times New Roman"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ascii="创艺简标宋" w:hAnsi="创艺简标宋" w:eastAsia="创艺简标宋" w:cs="Times New Roman"/>
          <w:color w:val="000000"/>
          <w:kern w:val="0"/>
          <w:sz w:val="36"/>
          <w:szCs w:val="36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5</w:t>
      </w:r>
    </w:p>
    <w:tbl>
      <w:tblPr>
        <w:tblStyle w:val="7"/>
        <w:tblW w:w="833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78"/>
        <w:gridCol w:w="1657"/>
        <w:gridCol w:w="1470"/>
        <w:gridCol w:w="1576"/>
        <w:gridCol w:w="1655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33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创艺简标宋" w:hAnsi="创艺简标宋" w:eastAsia="创艺简标宋" w:cs="创艺简标宋"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创艺简标宋" w:hAnsi="创艺简标宋" w:eastAsia="创艺简标宋" w:cs="创艺简标宋"/>
                <w:color w:val="000000"/>
                <w:kern w:val="0"/>
                <w:sz w:val="36"/>
                <w:szCs w:val="36"/>
              </w:rPr>
            </w:pPr>
            <w:r>
              <w:rPr>
                <w:rFonts w:hint="eastAsia" w:ascii="创艺简标宋" w:hAnsi="创艺简标宋" w:eastAsia="创艺简标宋" w:cs="创艺简标宋"/>
                <w:color w:val="000000"/>
                <w:kern w:val="0"/>
                <w:sz w:val="36"/>
                <w:szCs w:val="36"/>
              </w:rPr>
              <w:t>龙湾区</w:t>
            </w:r>
            <w:r>
              <w:rPr>
                <w:rFonts w:ascii="创艺简标宋" w:hAnsi="创艺简标宋" w:eastAsia="创艺简标宋" w:cs="创艺简标宋"/>
                <w:color w:val="000000"/>
                <w:kern w:val="0"/>
                <w:sz w:val="36"/>
                <w:szCs w:val="36"/>
              </w:rPr>
              <w:t>2019</w:t>
            </w:r>
            <w:r>
              <w:rPr>
                <w:rFonts w:hint="eastAsia" w:ascii="创艺简标宋" w:hAnsi="创艺简标宋" w:eastAsia="创艺简标宋" w:cs="创艺简标宋"/>
                <w:color w:val="000000"/>
                <w:kern w:val="0"/>
                <w:sz w:val="36"/>
                <w:szCs w:val="36"/>
              </w:rPr>
              <w:t>年上半年一般公共预算支出转移支付</w:t>
            </w:r>
          </w:p>
          <w:p>
            <w:pPr>
              <w:widowControl/>
              <w:jc w:val="center"/>
              <w:textAlignment w:val="center"/>
              <w:rPr>
                <w:rFonts w:ascii="创艺简标宋" w:hAnsi="创艺简标宋" w:eastAsia="创艺简标宋" w:cs="Times New Roman"/>
                <w:color w:val="000000"/>
                <w:sz w:val="36"/>
                <w:szCs w:val="36"/>
              </w:rPr>
            </w:pPr>
            <w:r>
              <w:rPr>
                <w:rFonts w:hint="eastAsia" w:ascii="创艺简标宋" w:hAnsi="创艺简标宋" w:eastAsia="创艺简标宋" w:cs="创艺简标宋"/>
                <w:color w:val="000000"/>
                <w:kern w:val="0"/>
                <w:sz w:val="36"/>
                <w:szCs w:val="36"/>
              </w:rPr>
              <w:t>执行情况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978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657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470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576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655" w:type="dxa"/>
            <w:vAlign w:val="center"/>
          </w:tcPr>
          <w:p>
            <w:pPr>
              <w:widowControl/>
              <w:ind w:firstLine="220" w:firstLineChars="100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年预算数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上半年执行数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完成预算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同比增长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+-%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5" w:hRule="atLeast"/>
        </w:trPr>
        <w:tc>
          <w:tcPr>
            <w:tcW w:w="19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一般公共预算转移支付</w:t>
            </w:r>
          </w:p>
        </w:tc>
        <w:tc>
          <w:tcPr>
            <w:tcW w:w="16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4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5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6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36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注：因龙湾区下属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个街道，无乡镇，所有支出均列为本级支出，无转移到下级支出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Times New Roman"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6</w:t>
      </w:r>
    </w:p>
    <w:tbl>
      <w:tblPr>
        <w:tblStyle w:val="7"/>
        <w:tblW w:w="833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67"/>
        <w:gridCol w:w="1548"/>
        <w:gridCol w:w="1361"/>
        <w:gridCol w:w="1401"/>
        <w:gridCol w:w="2159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833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创艺简标宋" w:hAnsi="创艺简标宋" w:eastAsia="创艺简标宋" w:cs="创艺简标宋"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Times New Roman"/>
                <w:color w:val="000000"/>
                <w:sz w:val="36"/>
                <w:szCs w:val="36"/>
              </w:rPr>
            </w:pPr>
            <w:r>
              <w:rPr>
                <w:rFonts w:hint="eastAsia" w:ascii="创艺简标宋" w:hAnsi="创艺简标宋" w:eastAsia="创艺简标宋" w:cs="创艺简标宋"/>
                <w:color w:val="000000"/>
                <w:kern w:val="0"/>
                <w:sz w:val="36"/>
                <w:szCs w:val="36"/>
              </w:rPr>
              <w:t>龙湾区</w:t>
            </w:r>
            <w:r>
              <w:rPr>
                <w:rFonts w:ascii="创艺简标宋" w:hAnsi="创艺简标宋" w:eastAsia="创艺简标宋" w:cs="创艺简标宋"/>
                <w:color w:val="000000"/>
                <w:kern w:val="0"/>
                <w:sz w:val="36"/>
                <w:szCs w:val="36"/>
              </w:rPr>
              <w:t>2019</w:t>
            </w:r>
            <w:r>
              <w:rPr>
                <w:rFonts w:hint="eastAsia" w:ascii="创艺简标宋" w:hAnsi="创艺简标宋" w:eastAsia="创艺简标宋" w:cs="创艺简标宋"/>
                <w:color w:val="000000"/>
                <w:kern w:val="0"/>
                <w:sz w:val="36"/>
                <w:szCs w:val="36"/>
              </w:rPr>
              <w:t>年上半年政府性基金收入执行情况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67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548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361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401" w:type="dxa"/>
            <w:tcBorders>
              <w:bottom w:val="single" w:color="000000" w:sz="4" w:space="0"/>
            </w:tcBorders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159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单位：万元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0" w:hRule="atLeast"/>
        </w:trPr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年预算数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上半年执行数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完成预算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同比增长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+-%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政府性基金收入合计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898300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156425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17.4%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29.6%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 w:firstLineChars="100"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一、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国有土地使用权出让收入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874000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145716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16.7%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20.7%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二、</w:t>
            </w: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城市基础设施配套费收入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850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三、污水处理费收入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四、彩票公益金收入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五、彩票发行机构和彩票销售机构的业务费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150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18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六、其他政府性基金收入</w:t>
            </w:r>
          </w:p>
        </w:tc>
        <w:tc>
          <w:tcPr>
            <w:tcW w:w="15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18000</w:t>
            </w:r>
          </w:p>
        </w:tc>
        <w:tc>
          <w:tcPr>
            <w:tcW w:w="13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10709</w:t>
            </w:r>
          </w:p>
        </w:tc>
        <w:tc>
          <w:tcPr>
            <w:tcW w:w="140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59.5%</w:t>
            </w:r>
          </w:p>
        </w:tc>
        <w:tc>
          <w:tcPr>
            <w:tcW w:w="21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Times New Roman"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7</w:t>
      </w:r>
    </w:p>
    <w:tbl>
      <w:tblPr>
        <w:tblStyle w:val="7"/>
        <w:tblW w:w="833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62"/>
        <w:gridCol w:w="1131"/>
        <w:gridCol w:w="1347"/>
        <w:gridCol w:w="1370"/>
        <w:gridCol w:w="2026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85" w:hRule="atLeast"/>
        </w:trPr>
        <w:tc>
          <w:tcPr>
            <w:tcW w:w="833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创艺简标宋" w:hAnsi="创艺简标宋" w:eastAsia="创艺简标宋" w:cs="创艺简标宋"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Times New Roman"/>
                <w:color w:val="000000"/>
                <w:sz w:val="36"/>
                <w:szCs w:val="36"/>
              </w:rPr>
            </w:pPr>
            <w:r>
              <w:rPr>
                <w:rFonts w:hint="eastAsia" w:ascii="创艺简标宋" w:hAnsi="创艺简标宋" w:eastAsia="创艺简标宋" w:cs="创艺简标宋"/>
                <w:color w:val="000000"/>
                <w:kern w:val="0"/>
                <w:sz w:val="36"/>
                <w:szCs w:val="36"/>
              </w:rPr>
              <w:t>龙湾区</w:t>
            </w:r>
            <w:r>
              <w:rPr>
                <w:rFonts w:ascii="创艺简标宋" w:hAnsi="创艺简标宋" w:eastAsia="创艺简标宋" w:cs="创艺简标宋"/>
                <w:color w:val="000000"/>
                <w:kern w:val="0"/>
                <w:sz w:val="36"/>
                <w:szCs w:val="36"/>
              </w:rPr>
              <w:t>2019</w:t>
            </w:r>
            <w:r>
              <w:rPr>
                <w:rFonts w:hint="eastAsia" w:ascii="创艺简标宋" w:hAnsi="创艺简标宋" w:eastAsia="创艺简标宋" w:cs="创艺简标宋"/>
                <w:color w:val="000000"/>
                <w:kern w:val="0"/>
                <w:sz w:val="36"/>
                <w:szCs w:val="36"/>
              </w:rPr>
              <w:t>年上半年政府性基金支出执行情况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36" w:type="dxa"/>
            <w:gridSpan w:val="5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项目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年预算数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上半年执行数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完成预算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同比增长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+-%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</w:trPr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政府性基金预算支出合计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995758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470613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47.3%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112.1%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1" w:firstLineChars="100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一、文化旅游体育与传媒支出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旅游发展基金支出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32" w:hRule="atLeast"/>
        </w:trPr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地方旅游开发项目补助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国家对电影事业发展专项资金及对应专项债务收入安排的支出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资助城市影院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1" w:firstLineChars="100"/>
              <w:jc w:val="left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二、社会保障和就业支出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281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93.7%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大中型移民后期扶持基金支出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300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252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84.0%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移民补助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290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29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10.0%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基础设施建设和经济发展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1" w:firstLineChars="100"/>
              <w:jc w:val="left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三、节能环保支出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400" w:firstLineChars="20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可再生能源电价附加收入安排的支出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600" w:firstLineChars="30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太阳能发电补助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201" w:firstLineChars="10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四、城乡社区支出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949990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462220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48.7%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122.7%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400" w:firstLineChars="20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国有土地使用权出让收入及对应专项债务收入安排的支出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869890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346122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39.8%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117.6%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600" w:firstLineChars="30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征地和拆迁补偿支出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799000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337990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42.3%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600" w:firstLineChars="30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土地开发支出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830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600" w:firstLineChars="30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农村基础设施建设支出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60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600" w:firstLineChars="30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其他国有土地使用权出让收入安排的支出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70000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8132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11.6%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400" w:firstLineChars="20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城市基础设施配套费及对应专项债务收入安排的支出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5100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1.9%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-88.8%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600" w:firstLineChars="300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城市公共设施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4100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600" w:firstLineChars="300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城市环境卫生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left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 xml:space="preserve">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其他城市基础设施配套费安排的支出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900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/>
              <w:jc w:val="center"/>
              <w:textAlignment w:val="center"/>
              <w:outlineLvl w:val="9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97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10.8%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污水处理费及对应专项债务收入安排的支出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6001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120.0%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14.1%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污水处理设施建设和运营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5000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6001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120.0%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土地储备专项债券收入安排支出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70000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110000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157.1%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征地和拆迁补偿支出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70000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110000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157.1%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1" w:firstLineChars="100"/>
              <w:jc w:val="left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五、其他支出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19078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8112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42.5%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83.7%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35" w:hRule="atLeast"/>
        </w:trPr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其他政府性基金及对应专项债务收入安排的支出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18000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7726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42.9%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80.1%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彩票发行销售机构业务费安排的支出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36.4%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14.3%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福利彩票销售机构的业务费支出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110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40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36.4%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彩票公益金及对应专项债务收入安排的支出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346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35.7%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72.1%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用于社会福利的彩票公益金支出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350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211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60.3%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用于体育事业的彩票公益金支出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570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129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22.6%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用于教育事业的彩票公益金支出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18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用于残疾人事业的彩票公益金支出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30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20.0%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1" w:firstLineChars="100"/>
              <w:jc w:val="left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六、债务付息支出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26282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地方政府专项债务付息支出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26282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国有土地使用权出让金债务付息支出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15782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土地储备专项债券付息支出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10500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1" w:firstLineChars="100"/>
              <w:jc w:val="left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七、债务发行费用支出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00" w:firstLineChars="200"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地方政府专项债务发行费用支出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5" w:hRule="atLeast"/>
        </w:trPr>
        <w:tc>
          <w:tcPr>
            <w:tcW w:w="246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600" w:firstLineChars="300"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国有土地使用权出让金债务发行费用支出</w:t>
            </w:r>
          </w:p>
        </w:tc>
        <w:tc>
          <w:tcPr>
            <w:tcW w:w="11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100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  <w:tc>
          <w:tcPr>
            <w:tcW w:w="13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0.0%</w:t>
            </w:r>
          </w:p>
        </w:tc>
        <w:tc>
          <w:tcPr>
            <w:tcW w:w="20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</w:tbl>
    <w:p>
      <w:pPr>
        <w:spacing w:line="56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ascii="仿宋_GB2312" w:hAnsi="仿宋_GB2312" w:eastAsia="仿宋_GB2312" w:cs="Times New Roman"/>
          <w:color w:val="000000"/>
          <w:sz w:val="32"/>
          <w:szCs w:val="32"/>
        </w:rPr>
        <w:br w:type="page"/>
      </w: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8</w:t>
      </w:r>
    </w:p>
    <w:tbl>
      <w:tblPr>
        <w:tblStyle w:val="7"/>
        <w:tblW w:w="8336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874"/>
        <w:gridCol w:w="1455"/>
        <w:gridCol w:w="1324"/>
        <w:gridCol w:w="1166"/>
        <w:gridCol w:w="251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</w:trPr>
        <w:tc>
          <w:tcPr>
            <w:tcW w:w="8336" w:type="dxa"/>
            <w:gridSpan w:val="5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创艺简标宋" w:hAnsi="创艺简标宋" w:eastAsia="创艺简标宋" w:cs="创艺简标宋"/>
                <w:color w:val="000000"/>
                <w:kern w:val="0"/>
                <w:sz w:val="36"/>
                <w:szCs w:val="3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ascii="创艺简标宋" w:hAnsi="创艺简标宋" w:eastAsia="创艺简标宋" w:cs="Times New Roman"/>
                <w:color w:val="000000"/>
                <w:sz w:val="36"/>
                <w:szCs w:val="36"/>
              </w:rPr>
            </w:pPr>
            <w:r>
              <w:rPr>
                <w:rFonts w:hint="eastAsia" w:ascii="创艺简标宋" w:hAnsi="创艺简标宋" w:eastAsia="创艺简标宋" w:cs="创艺简标宋"/>
                <w:color w:val="000000"/>
                <w:kern w:val="0"/>
                <w:sz w:val="36"/>
                <w:szCs w:val="36"/>
              </w:rPr>
              <w:t>龙湾区</w:t>
            </w:r>
            <w:r>
              <w:rPr>
                <w:rFonts w:ascii="创艺简标宋" w:hAnsi="创艺简标宋" w:eastAsia="创艺简标宋" w:cs="创艺简标宋"/>
                <w:color w:val="000000"/>
                <w:kern w:val="0"/>
                <w:sz w:val="36"/>
                <w:szCs w:val="36"/>
              </w:rPr>
              <w:t>2019</w:t>
            </w:r>
            <w:r>
              <w:rPr>
                <w:rFonts w:hint="eastAsia" w:ascii="创艺简标宋" w:hAnsi="创艺简标宋" w:eastAsia="创艺简标宋" w:cs="创艺简标宋"/>
                <w:color w:val="000000"/>
                <w:kern w:val="0"/>
                <w:sz w:val="36"/>
                <w:szCs w:val="36"/>
              </w:rPr>
              <w:t>年上半年政府性基金转移支付执行情况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74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455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324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1166" w:type="dxa"/>
            <w:vAlign w:val="center"/>
          </w:tcPr>
          <w:p>
            <w:pPr>
              <w:rPr>
                <w:rFonts w:ascii="宋体" w:cs="Times New Roman"/>
                <w:color w:val="000000"/>
                <w:sz w:val="22"/>
                <w:szCs w:val="22"/>
              </w:rPr>
            </w:pPr>
          </w:p>
        </w:tc>
        <w:tc>
          <w:tcPr>
            <w:tcW w:w="2517" w:type="dxa"/>
            <w:vAlign w:val="center"/>
          </w:tcPr>
          <w:p>
            <w:pPr>
              <w:widowControl/>
              <w:ind w:firstLine="880" w:firstLineChars="400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  <w:t>项目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年预算数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上半年执行数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完成预算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同比增长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+-%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50" w:hRule="atLeast"/>
        </w:trPr>
        <w:tc>
          <w:tcPr>
            <w:tcW w:w="18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0"/>
                <w:szCs w:val="20"/>
              </w:rPr>
              <w:t>政府性基金转移支付</w:t>
            </w:r>
          </w:p>
        </w:tc>
        <w:tc>
          <w:tcPr>
            <w:tcW w:w="145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3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11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  <w:tc>
          <w:tcPr>
            <w:tcW w:w="25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ascii="宋体" w:cs="宋体"/>
                <w:color w:val="000000"/>
                <w:kern w:val="0"/>
                <w:sz w:val="22"/>
                <w:szCs w:val="22"/>
              </w:rPr>
              <w:t>0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8336" w:type="dxa"/>
            <w:gridSpan w:val="5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注：因龙湾区下属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6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个街道，无乡镇，所有支出均列为本级支出，无转移到下级支出</w:t>
            </w:r>
          </w:p>
        </w:tc>
      </w:tr>
    </w:tbl>
    <w:p>
      <w:pPr>
        <w:spacing w:line="560" w:lineRule="exact"/>
        <w:rPr>
          <w:rFonts w:ascii="仿宋_GB2312" w:hAnsi="仿宋_GB2312" w:eastAsia="仿宋_GB2312" w:cs="Times New Roman"/>
          <w:color w:val="000000"/>
          <w:sz w:val="32"/>
          <w:szCs w:val="32"/>
        </w:rPr>
        <w:sectPr>
          <w:pgSz w:w="11906" w:h="16838"/>
          <w:pgMar w:top="1440" w:right="1800" w:bottom="1440" w:left="1800" w:header="851" w:footer="992" w:gutter="0"/>
          <w:pgNumType w:fmt="numberInDash"/>
          <w:cols w:space="425" w:num="1"/>
          <w:docGrid w:type="lines" w:linePitch="312" w:charSpace="0"/>
        </w:sectPr>
      </w:pPr>
    </w:p>
    <w:p>
      <w:pPr>
        <w:spacing w:line="560" w:lineRule="exact"/>
        <w:rPr>
          <w:rFonts w:ascii="黑体" w:hAnsi="黑体" w:eastAsia="黑体" w:cs="黑体"/>
          <w:color w:val="000000"/>
          <w:sz w:val="32"/>
          <w:szCs w:val="32"/>
        </w:rPr>
      </w:pPr>
      <w:r>
        <w:rPr>
          <w:rFonts w:hint="eastAsia" w:ascii="黑体" w:hAnsi="黑体" w:eastAsia="黑体" w:cs="黑体"/>
          <w:color w:val="000000"/>
          <w:sz w:val="32"/>
          <w:szCs w:val="32"/>
        </w:rPr>
        <w:t>附件</w:t>
      </w:r>
      <w:r>
        <w:rPr>
          <w:rFonts w:ascii="黑体" w:hAnsi="黑体" w:eastAsia="黑体" w:cs="黑体"/>
          <w:color w:val="000000"/>
          <w:sz w:val="32"/>
          <w:szCs w:val="32"/>
        </w:rPr>
        <w:t>9</w:t>
      </w:r>
    </w:p>
    <w:tbl>
      <w:tblPr>
        <w:tblStyle w:val="7"/>
        <w:tblW w:w="8336" w:type="dxa"/>
        <w:jc w:val="center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466"/>
        <w:gridCol w:w="1387"/>
        <w:gridCol w:w="1372"/>
        <w:gridCol w:w="1185"/>
        <w:gridCol w:w="1489"/>
        <w:gridCol w:w="1437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0" w:hRule="atLeast"/>
          <w:jc w:val="center"/>
        </w:trPr>
        <w:tc>
          <w:tcPr>
            <w:tcW w:w="8336" w:type="dxa"/>
            <w:gridSpan w:val="6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0" w:leftChars="0" w:right="0" w:rightChars="0" w:firstLine="0" w:firstLineChars="0"/>
              <w:jc w:val="center"/>
              <w:textAlignment w:val="center"/>
              <w:outlineLvl w:val="9"/>
              <w:rPr>
                <w:rFonts w:hint="eastAsia" w:ascii="创艺简标宋" w:hAnsi="创艺简标宋" w:eastAsia="创艺简标宋" w:cs="创艺简标宋"/>
                <w:color w:val="000000"/>
                <w:kern w:val="0"/>
                <w:sz w:val="36"/>
                <w:szCs w:val="36"/>
              </w:rPr>
            </w:pPr>
          </w:p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Times New Roman"/>
                <w:color w:val="000000"/>
                <w:sz w:val="36"/>
                <w:szCs w:val="36"/>
              </w:rPr>
            </w:pPr>
            <w:bookmarkStart w:id="0" w:name="_GoBack"/>
            <w:bookmarkEnd w:id="0"/>
            <w:r>
              <w:rPr>
                <w:rFonts w:hint="eastAsia" w:ascii="创艺简标宋" w:hAnsi="创艺简标宋" w:eastAsia="创艺简标宋" w:cs="创艺简标宋"/>
                <w:color w:val="000000"/>
                <w:kern w:val="0"/>
                <w:sz w:val="36"/>
                <w:szCs w:val="36"/>
              </w:rPr>
              <w:t>龙湾区</w:t>
            </w:r>
            <w:r>
              <w:rPr>
                <w:rFonts w:ascii="创艺简标宋" w:hAnsi="创艺简标宋" w:eastAsia="创艺简标宋" w:cs="创艺简标宋"/>
                <w:color w:val="000000"/>
                <w:kern w:val="0"/>
                <w:sz w:val="36"/>
                <w:szCs w:val="36"/>
              </w:rPr>
              <w:t>2019</w:t>
            </w:r>
            <w:r>
              <w:rPr>
                <w:rFonts w:hint="eastAsia" w:ascii="创艺简标宋" w:hAnsi="创艺简标宋" w:eastAsia="创艺简标宋" w:cs="创艺简标宋"/>
                <w:color w:val="000000"/>
                <w:kern w:val="0"/>
                <w:sz w:val="36"/>
                <w:szCs w:val="36"/>
              </w:rPr>
              <w:t>年上半年“三公”经费预算执行情况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  <w:jc w:val="center"/>
        </w:trPr>
        <w:tc>
          <w:tcPr>
            <w:tcW w:w="1466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方正小标宋简体" w:hAnsi="方正小标宋简体" w:eastAsia="方正小标宋简体" w:cs="Times New Roman"/>
                <w:color w:val="000000"/>
                <w:sz w:val="32"/>
                <w:szCs w:val="32"/>
              </w:rPr>
            </w:pPr>
          </w:p>
        </w:tc>
        <w:tc>
          <w:tcPr>
            <w:tcW w:w="1387" w:type="dxa"/>
            <w:tcBorders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372" w:type="dxa"/>
            <w:tcBorders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85" w:type="dxa"/>
            <w:tcBorders>
              <w:bottom w:val="single" w:color="000000" w:sz="4" w:space="0"/>
            </w:tcBorders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89" w:type="dxa"/>
            <w:tcBorders>
              <w:bottom w:val="single" w:color="000000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37" w:type="dxa"/>
            <w:tcBorders>
              <w:bottom w:val="single" w:color="000000" w:sz="4" w:space="0"/>
            </w:tcBorders>
            <w:vAlign w:val="center"/>
          </w:tcPr>
          <w:p>
            <w:pPr>
              <w:widowControl/>
              <w:jc w:val="right"/>
              <w:textAlignment w:val="center"/>
              <w:rPr>
                <w:rFonts w:ascii="宋体" w:cs="Times New Roman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单位：万元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项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目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2019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年预算数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上半年执行数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完成预算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%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同比增长</w:t>
            </w:r>
            <w:r>
              <w:rPr>
                <w:rFonts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+-%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支出合计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1876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  <w:t>415.08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  <w:t>22.13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-27.28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ind w:firstLine="200" w:firstLineChars="100"/>
              <w:jc w:val="left"/>
              <w:textAlignment w:val="top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因公出国（境）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  <w:t>9.69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  <w:t>10.77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-59.41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0" w:hRule="atLeast"/>
          <w:jc w:val="center"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 w:firstLineChars="100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公务接待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268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  <w:t>87.7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  <w:t>32.72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72.1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  <w:jc w:val="center"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200" w:firstLineChars="100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车辆购置与运行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1518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  <w:t>317.69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  <w:t>20.93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-35.94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00" w:firstLineChars="200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其中：车辆购置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550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  <w:t>101.1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  <w:t>18.38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-62.86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4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ind w:firstLine="400" w:firstLineChars="200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车辆运行</w:t>
            </w:r>
          </w:p>
        </w:tc>
        <w:tc>
          <w:tcPr>
            <w:tcW w:w="13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kern w:val="0"/>
                <w:sz w:val="20"/>
                <w:szCs w:val="20"/>
              </w:rPr>
              <w:t>968</w:t>
            </w:r>
          </w:p>
        </w:tc>
        <w:tc>
          <w:tcPr>
            <w:tcW w:w="13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  <w:t>216.59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</w:pPr>
            <w:r>
              <w:rPr>
                <w:rFonts w:ascii="仿宋_GB2312" w:hAnsi="宋体" w:eastAsia="仿宋_GB2312" w:cs="仿宋_GB2312"/>
                <w:color w:val="000000"/>
                <w:sz w:val="20"/>
                <w:szCs w:val="20"/>
              </w:rPr>
              <w:t>22.38</w:t>
            </w:r>
          </w:p>
        </w:tc>
        <w:tc>
          <w:tcPr>
            <w:tcW w:w="1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-15.01</w:t>
            </w:r>
          </w:p>
        </w:tc>
        <w:tc>
          <w:tcPr>
            <w:tcW w:w="14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color w:val="000000"/>
                <w:sz w:val="20"/>
                <w:szCs w:val="20"/>
              </w:rPr>
            </w:pPr>
          </w:p>
        </w:tc>
      </w:tr>
    </w:tbl>
    <w:p>
      <w:pPr>
        <w:spacing w:line="560" w:lineRule="exact"/>
        <w:rPr>
          <w:rFonts w:ascii="仿宋_GB2312" w:hAnsi="仿宋_GB2312" w:eastAsia="仿宋_GB2312" w:cs="Times New Roman"/>
          <w:color w:val="00000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创艺简标宋"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cs="Times New Roman"/>
        <w:sz w:val="28"/>
        <w:szCs w:val="28"/>
      </w:rPr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>
          <v:path/>
          <v:fill on="f" focussize="0,0"/>
          <v:stroke on="f" weight="0.5pt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rPr>
                    <w:rFonts w:hint="default" w:ascii="Times New Roman" w:hAnsi="Times New Roman" w:cs="Times New Roman"/>
                    <w:sz w:val="30"/>
                    <w:szCs w:val="30"/>
                  </w:rPr>
                </w:pPr>
                <w:r>
                  <w:rPr>
                    <w:rFonts w:hint="default" w:ascii="Times New Roman" w:hAnsi="Times New Roman" w:cs="Times New Roman"/>
                    <w:sz w:val="30"/>
                    <w:szCs w:val="30"/>
                  </w:rPr>
                  <w:fldChar w:fldCharType="begin"/>
                </w:r>
                <w:r>
                  <w:rPr>
                    <w:rFonts w:hint="default" w:ascii="Times New Roman" w:hAnsi="Times New Roman" w:cs="Times New Roman"/>
                    <w:sz w:val="30"/>
                    <w:szCs w:val="30"/>
                  </w:rPr>
                  <w:instrText xml:space="preserve"> PAGE  \* MERGEFORMAT </w:instrText>
                </w:r>
                <w:r>
                  <w:rPr>
                    <w:rFonts w:hint="default" w:ascii="Times New Roman" w:hAnsi="Times New Roman" w:cs="Times New Roman"/>
                    <w:sz w:val="30"/>
                    <w:szCs w:val="30"/>
                  </w:rPr>
                  <w:fldChar w:fldCharType="separate"/>
                </w:r>
                <w:r>
                  <w:rPr>
                    <w:rFonts w:hint="default" w:ascii="Times New Roman" w:hAnsi="Times New Roman" w:cs="Times New Roman"/>
                    <w:sz w:val="30"/>
                    <w:szCs w:val="30"/>
                  </w:rPr>
                  <w:t>1</w:t>
                </w:r>
                <w:r>
                  <w:rPr>
                    <w:rFonts w:hint="default" w:ascii="Times New Roman" w:hAnsi="Times New Roman" w:cs="Times New Roman"/>
                    <w:sz w:val="30"/>
                    <w:szCs w:val="30"/>
                  </w:rPr>
                  <w:fldChar w:fldCharType="end"/>
                </w:r>
              </w:p>
            </w:txbxContent>
          </v:textbox>
        </v:shape>
      </w:pict>
    </w:r>
  </w:p>
  <w:p>
    <w:pPr>
      <w:pStyle w:val="3"/>
      <w:rPr>
        <w:rFonts w:cs="Times New Roman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oNotHyphenateCaps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14060A6B"/>
    <w:rsid w:val="0019074E"/>
    <w:rsid w:val="001C7797"/>
    <w:rsid w:val="001F5BEC"/>
    <w:rsid w:val="00206CCC"/>
    <w:rsid w:val="0022505B"/>
    <w:rsid w:val="002574FA"/>
    <w:rsid w:val="00291BF3"/>
    <w:rsid w:val="003148BE"/>
    <w:rsid w:val="0032765A"/>
    <w:rsid w:val="00376F1F"/>
    <w:rsid w:val="003C0338"/>
    <w:rsid w:val="004009F7"/>
    <w:rsid w:val="00446800"/>
    <w:rsid w:val="004549FC"/>
    <w:rsid w:val="004619F3"/>
    <w:rsid w:val="00507F2C"/>
    <w:rsid w:val="00530680"/>
    <w:rsid w:val="005321B9"/>
    <w:rsid w:val="00563C9F"/>
    <w:rsid w:val="005745F7"/>
    <w:rsid w:val="005D10BE"/>
    <w:rsid w:val="005E237A"/>
    <w:rsid w:val="0066639C"/>
    <w:rsid w:val="00672DDA"/>
    <w:rsid w:val="00695F8F"/>
    <w:rsid w:val="006D4C94"/>
    <w:rsid w:val="0070499D"/>
    <w:rsid w:val="007448A8"/>
    <w:rsid w:val="00764335"/>
    <w:rsid w:val="007912B7"/>
    <w:rsid w:val="007A16A9"/>
    <w:rsid w:val="007E2AB4"/>
    <w:rsid w:val="00802F6E"/>
    <w:rsid w:val="008102DE"/>
    <w:rsid w:val="008A1BBE"/>
    <w:rsid w:val="00901224"/>
    <w:rsid w:val="0095737B"/>
    <w:rsid w:val="00981316"/>
    <w:rsid w:val="009E6CC6"/>
    <w:rsid w:val="00A405F4"/>
    <w:rsid w:val="00A4601E"/>
    <w:rsid w:val="00A64A36"/>
    <w:rsid w:val="00A726DF"/>
    <w:rsid w:val="00A85561"/>
    <w:rsid w:val="00B447EE"/>
    <w:rsid w:val="00B47B8E"/>
    <w:rsid w:val="00B5185D"/>
    <w:rsid w:val="00BA59F2"/>
    <w:rsid w:val="00BB66ED"/>
    <w:rsid w:val="00BC0C8A"/>
    <w:rsid w:val="00BD5B1B"/>
    <w:rsid w:val="00C85658"/>
    <w:rsid w:val="00D363E3"/>
    <w:rsid w:val="00D4635B"/>
    <w:rsid w:val="00E4182F"/>
    <w:rsid w:val="00E54213"/>
    <w:rsid w:val="00EC00F8"/>
    <w:rsid w:val="00EC6CBF"/>
    <w:rsid w:val="00EE75AC"/>
    <w:rsid w:val="00EE78D4"/>
    <w:rsid w:val="00EF6143"/>
    <w:rsid w:val="00F54CBE"/>
    <w:rsid w:val="00F61917"/>
    <w:rsid w:val="00F64055"/>
    <w:rsid w:val="00F671DB"/>
    <w:rsid w:val="00F8369C"/>
    <w:rsid w:val="013D7101"/>
    <w:rsid w:val="02955F21"/>
    <w:rsid w:val="03574D9E"/>
    <w:rsid w:val="03BE208E"/>
    <w:rsid w:val="061A14A6"/>
    <w:rsid w:val="09E96B1E"/>
    <w:rsid w:val="0A340EA8"/>
    <w:rsid w:val="0CA37D36"/>
    <w:rsid w:val="103F4DF2"/>
    <w:rsid w:val="10633493"/>
    <w:rsid w:val="10B6506A"/>
    <w:rsid w:val="136B7176"/>
    <w:rsid w:val="139E4A72"/>
    <w:rsid w:val="14060A6B"/>
    <w:rsid w:val="14FA51A4"/>
    <w:rsid w:val="150157F2"/>
    <w:rsid w:val="15766510"/>
    <w:rsid w:val="161571D7"/>
    <w:rsid w:val="196B1780"/>
    <w:rsid w:val="197F7156"/>
    <w:rsid w:val="19D336EE"/>
    <w:rsid w:val="1B0C5AF5"/>
    <w:rsid w:val="1C512329"/>
    <w:rsid w:val="21121454"/>
    <w:rsid w:val="222C2CED"/>
    <w:rsid w:val="239A1AEA"/>
    <w:rsid w:val="28A3394B"/>
    <w:rsid w:val="2C732D88"/>
    <w:rsid w:val="2E183EC1"/>
    <w:rsid w:val="30E36E5B"/>
    <w:rsid w:val="32380946"/>
    <w:rsid w:val="3564232A"/>
    <w:rsid w:val="357A20FB"/>
    <w:rsid w:val="37CE601B"/>
    <w:rsid w:val="39922E95"/>
    <w:rsid w:val="3A0D0628"/>
    <w:rsid w:val="3BEA4CEA"/>
    <w:rsid w:val="3C253698"/>
    <w:rsid w:val="3DF01796"/>
    <w:rsid w:val="3E8650AA"/>
    <w:rsid w:val="41B7198D"/>
    <w:rsid w:val="43444C60"/>
    <w:rsid w:val="4727446B"/>
    <w:rsid w:val="476973FD"/>
    <w:rsid w:val="491C7FDE"/>
    <w:rsid w:val="493F0316"/>
    <w:rsid w:val="4AA84C15"/>
    <w:rsid w:val="4B205E7D"/>
    <w:rsid w:val="4BF22260"/>
    <w:rsid w:val="4CC4353B"/>
    <w:rsid w:val="4CC61964"/>
    <w:rsid w:val="517149DD"/>
    <w:rsid w:val="53C46184"/>
    <w:rsid w:val="547E786F"/>
    <w:rsid w:val="55D94196"/>
    <w:rsid w:val="561948A6"/>
    <w:rsid w:val="56806CB1"/>
    <w:rsid w:val="57827309"/>
    <w:rsid w:val="596F65B5"/>
    <w:rsid w:val="59995B3E"/>
    <w:rsid w:val="5D337E4D"/>
    <w:rsid w:val="5E750EC3"/>
    <w:rsid w:val="5E915663"/>
    <w:rsid w:val="5FB7546D"/>
    <w:rsid w:val="62E26158"/>
    <w:rsid w:val="6463656D"/>
    <w:rsid w:val="657E11FE"/>
    <w:rsid w:val="66C92075"/>
    <w:rsid w:val="694D70FC"/>
    <w:rsid w:val="6AC052B3"/>
    <w:rsid w:val="6D2C7B2E"/>
    <w:rsid w:val="6F2A20EA"/>
    <w:rsid w:val="72365D85"/>
    <w:rsid w:val="72956184"/>
    <w:rsid w:val="7355241D"/>
    <w:rsid w:val="736021F3"/>
    <w:rsid w:val="73EA0C71"/>
    <w:rsid w:val="748F3A00"/>
    <w:rsid w:val="757D4488"/>
    <w:rsid w:val="79D22421"/>
    <w:rsid w:val="7CA87246"/>
    <w:rsid w:val="7FD11FB6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nhideWhenUsed="0" w:uiPriority="0" w:semiHidden="0" w:name="Table Simple 1" w:locked="1"/>
    <w:lsdException w:unhideWhenUsed="0" w:uiPriority="0" w:semiHidden="0" w:name="Table Simple 2" w:locked="1"/>
    <w:lsdException w:unhideWhenUsed="0" w:uiPriority="0" w:semiHidden="0" w:name="Table Simple 3" w:locked="1"/>
    <w:lsdException w:unhideWhenUsed="0" w:uiPriority="0" w:semiHidden="0" w:name="Table Classic 1" w:locked="1"/>
    <w:lsdException w:unhideWhenUsed="0" w:uiPriority="0" w:semiHidden="0" w:name="Table Classic 2" w:locked="1"/>
    <w:lsdException w:unhideWhenUsed="0" w:uiPriority="0" w:semiHidden="0" w:name="Table Classic 3" w:locked="1"/>
    <w:lsdException w:unhideWhenUsed="0" w:uiPriority="0" w:semiHidden="0" w:name="Table Classic 4" w:locked="1"/>
    <w:lsdException w:unhideWhenUsed="0" w:uiPriority="0" w:semiHidden="0" w:name="Table Colorful 1" w:locked="1"/>
    <w:lsdException w:unhideWhenUsed="0" w:uiPriority="0" w:semiHidden="0" w:name="Table Colorful 2" w:locked="1"/>
    <w:lsdException w:unhideWhenUsed="0" w:uiPriority="0" w:semiHidden="0" w:name="Table Colorful 3" w:locked="1"/>
    <w:lsdException w:unhideWhenUsed="0" w:uiPriority="0" w:semiHidden="0" w:name="Table Columns 1" w:locked="1"/>
    <w:lsdException w:unhideWhenUsed="0" w:uiPriority="0" w:semiHidden="0" w:name="Table Columns 2" w:locked="1"/>
    <w:lsdException w:unhideWhenUsed="0" w:uiPriority="0" w:semiHidden="0" w:name="Table Columns 3" w:locked="1"/>
    <w:lsdException w:unhideWhenUsed="0" w:uiPriority="0" w:semiHidden="0" w:name="Table Columns 4" w:locked="1"/>
    <w:lsdException w:unhideWhenUsed="0" w:uiPriority="0" w:semiHidden="0" w:name="Table Columns 5" w:locked="1"/>
    <w:lsdException w:unhideWhenUsed="0" w:uiPriority="0" w:semiHidden="0" w:name="Table Grid 1" w:locked="1"/>
    <w:lsdException w:unhideWhenUsed="0" w:uiPriority="0" w:semiHidden="0" w:name="Table Grid 2" w:locked="1"/>
    <w:lsdException w:unhideWhenUsed="0" w:uiPriority="0" w:semiHidden="0" w:name="Table Grid 3" w:locked="1"/>
    <w:lsdException w:unhideWhenUsed="0" w:uiPriority="0" w:semiHidden="0" w:name="Table Grid 4" w:locked="1"/>
    <w:lsdException w:unhideWhenUsed="0" w:uiPriority="0" w:semiHidden="0" w:name="Table Grid 5" w:locked="1"/>
    <w:lsdException w:unhideWhenUsed="0" w:uiPriority="0" w:semiHidden="0" w:name="Table Grid 6" w:locked="1"/>
    <w:lsdException w:unhideWhenUsed="0" w:uiPriority="0" w:semiHidden="0" w:name="Table Grid 7" w:locked="1"/>
    <w:lsdException w:unhideWhenUsed="0" w:uiPriority="0" w:semiHidden="0" w:name="Table Grid 8" w:locked="1"/>
    <w:lsdException w:unhideWhenUsed="0" w:uiPriority="0" w:semiHidden="0" w:name="Table List 1" w:locked="1"/>
    <w:lsdException w:unhideWhenUsed="0" w:uiPriority="0" w:semiHidden="0" w:name="Table List 2" w:locked="1"/>
    <w:lsdException w:unhideWhenUsed="0" w:uiPriority="0" w:semiHidden="0" w:name="Table List 3" w:locked="1"/>
    <w:lsdException w:unhideWhenUsed="0" w:uiPriority="0" w:semiHidden="0" w:name="Table List 4" w:locked="1"/>
    <w:lsdException w:unhideWhenUsed="0" w:uiPriority="0" w:semiHidden="0" w:name="Table List 5" w:locked="1"/>
    <w:lsdException w:unhideWhenUsed="0" w:uiPriority="0" w:semiHidden="0" w:name="Table List 6" w:locked="1"/>
    <w:lsdException w:unhideWhenUsed="0" w:uiPriority="0" w:semiHidden="0" w:name="Table List 7" w:locked="1"/>
    <w:lsdException w:unhideWhenUsed="0" w:uiPriority="0" w:semiHidden="0" w:name="Table List 8" w:locked="1"/>
    <w:lsdException w:unhideWhenUsed="0" w:uiPriority="0" w:semiHidden="0" w:name="Table 3D effects 1" w:locked="1"/>
    <w:lsdException w:unhideWhenUsed="0" w:uiPriority="0" w:semiHidden="0" w:name="Table 3D effects 2" w:locked="1"/>
    <w:lsdException w:unhideWhenUsed="0" w:uiPriority="0" w:semiHidden="0" w:name="Table 3D effects 3" w:locked="1"/>
    <w:lsdException w:unhideWhenUsed="0" w:uiPriority="0" w:semiHidden="0" w:name="Table Contemporary" w:locked="1"/>
    <w:lsdException w:unhideWhenUsed="0" w:uiPriority="0" w:semiHidden="0" w:name="Table Elegant" w:locked="1"/>
    <w:lsdException w:unhideWhenUsed="0" w:uiPriority="0" w:semiHidden="0" w:name="Table Professional" w:locked="1"/>
    <w:lsdException w:unhideWhenUsed="0" w:uiPriority="0" w:semiHidden="0" w:name="Table Subtle 1" w:locked="1"/>
    <w:lsdException w:unhideWhenUsed="0" w:uiPriority="0" w:semiHidden="0" w:name="Table Subtle 2" w:locked="1"/>
    <w:lsdException w:unhideWhenUsed="0" w:uiPriority="0" w:semiHidden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unhideWhenUsed="0" w:uiPriority="99" w:name="Balloon Text"/>
    <w:lsdException w:unhideWhenUsed="0" w:uiPriority="59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6">
    <w:name w:val="Default Paragraph Font"/>
    <w:semiHidden/>
    <w:uiPriority w:val="99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semiHidden/>
    <w:uiPriority w:val="99"/>
    <w:rPr>
      <w:sz w:val="18"/>
      <w:szCs w:val="18"/>
    </w:rPr>
  </w:style>
  <w:style w:type="paragraph" w:styleId="3">
    <w:name w:val="footer"/>
    <w:basedOn w:val="1"/>
    <w:link w:val="9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5">
    <w:name w:val="Normal (Web)"/>
    <w:basedOn w:val="1"/>
    <w:qFormat/>
    <w:uiPriority w:val="99"/>
    <w:pPr>
      <w:jc w:val="left"/>
    </w:pPr>
    <w:rPr>
      <w:kern w:val="0"/>
      <w:sz w:val="24"/>
      <w:szCs w:val="24"/>
    </w:rPr>
  </w:style>
  <w:style w:type="character" w:customStyle="1" w:styleId="8">
    <w:name w:val="Balloon Text Char"/>
    <w:basedOn w:val="6"/>
    <w:link w:val="2"/>
    <w:qFormat/>
    <w:locked/>
    <w:uiPriority w:val="99"/>
    <w:rPr>
      <w:kern w:val="2"/>
      <w:sz w:val="18"/>
      <w:szCs w:val="18"/>
    </w:rPr>
  </w:style>
  <w:style w:type="character" w:customStyle="1" w:styleId="9">
    <w:name w:val="Footer Char"/>
    <w:basedOn w:val="6"/>
    <w:link w:val="3"/>
    <w:qFormat/>
    <w:locked/>
    <w:uiPriority w:val="99"/>
    <w:rPr>
      <w:rFonts w:ascii="Calibri" w:hAnsi="Calibri" w:eastAsia="宋体" w:cs="Calibri"/>
      <w:kern w:val="2"/>
      <w:sz w:val="22"/>
      <w:szCs w:val="22"/>
    </w:rPr>
  </w:style>
  <w:style w:type="character" w:customStyle="1" w:styleId="10">
    <w:name w:val="Header Char"/>
    <w:basedOn w:val="6"/>
    <w:link w:val="4"/>
    <w:semiHidden/>
    <w:qFormat/>
    <w:uiPriority w:val="99"/>
    <w:rPr>
      <w:rFonts w:cs="Calibri"/>
      <w:sz w:val="18"/>
      <w:szCs w:val="18"/>
    </w:rPr>
  </w:style>
  <w:style w:type="character" w:customStyle="1" w:styleId="11">
    <w:name w:val="font51"/>
    <w:basedOn w:val="6"/>
    <w:qFormat/>
    <w:uiPriority w:val="99"/>
    <w:rPr>
      <w:rFonts w:ascii="Cambria" w:hAnsi="Cambria" w:eastAsia="Times New Roman" w:cs="Cambria"/>
      <w:color w:val="000000"/>
      <w:sz w:val="44"/>
      <w:szCs w:val="44"/>
      <w:u w:val="none"/>
    </w:rPr>
  </w:style>
  <w:style w:type="character" w:customStyle="1" w:styleId="12">
    <w:name w:val="font01"/>
    <w:basedOn w:val="6"/>
    <w:qFormat/>
    <w:uiPriority w:val="99"/>
    <w:rPr>
      <w:rFonts w:ascii="方正小标宋简体" w:hAnsi="方正小标宋简体" w:eastAsia="方正小标宋简体" w:cs="方正小标宋简体"/>
      <w:color w:val="000000"/>
      <w:sz w:val="36"/>
      <w:szCs w:val="36"/>
      <w:u w:val="none"/>
    </w:rPr>
  </w:style>
  <w:style w:type="character" w:customStyle="1" w:styleId="13">
    <w:name w:val="font41"/>
    <w:basedOn w:val="6"/>
    <w:qFormat/>
    <w:uiPriority w:val="99"/>
    <w:rPr>
      <w:rFonts w:ascii="Cambria" w:hAnsi="Cambria" w:eastAsia="Times New Roman" w:cs="Cambria"/>
      <w:color w:val="000000"/>
      <w:sz w:val="44"/>
      <w:szCs w:val="44"/>
      <w:u w:val="none"/>
    </w:rPr>
  </w:style>
  <w:style w:type="character" w:customStyle="1" w:styleId="14">
    <w:name w:val="font11"/>
    <w:basedOn w:val="6"/>
    <w:qFormat/>
    <w:uiPriority w:val="99"/>
    <w:rPr>
      <w:rFonts w:ascii="仿宋_GB2312" w:eastAsia="仿宋_GB2312" w:cs="仿宋_GB2312"/>
      <w:color w:val="000000"/>
      <w:sz w:val="20"/>
      <w:szCs w:val="20"/>
      <w:u w:val="none"/>
    </w:rPr>
  </w:style>
  <w:style w:type="character" w:customStyle="1" w:styleId="15">
    <w:name w:val="font61"/>
    <w:basedOn w:val="6"/>
    <w:qFormat/>
    <w:uiPriority w:val="99"/>
    <w:rPr>
      <w:rFonts w:ascii="仿宋_GB2312" w:eastAsia="仿宋_GB2312" w:cs="仿宋_GB2312"/>
      <w:b/>
      <w:bCs/>
      <w:color w:val="000000"/>
      <w:sz w:val="20"/>
      <w:szCs w:val="20"/>
      <w:u w:val="none"/>
    </w:rPr>
  </w:style>
  <w:style w:type="character" w:customStyle="1" w:styleId="16">
    <w:name w:val="font71"/>
    <w:basedOn w:val="6"/>
    <w:qFormat/>
    <w:uiPriority w:val="99"/>
    <w:rPr>
      <w:rFonts w:ascii="仿宋_GB2312" w:eastAsia="仿宋_GB2312" w:cs="仿宋_GB2312"/>
      <w:b/>
      <w:bCs/>
      <w:color w:val="000000"/>
      <w:sz w:val="20"/>
      <w:szCs w:val="20"/>
      <w:u w:val="none"/>
    </w:rPr>
  </w:style>
  <w:style w:type="character" w:customStyle="1" w:styleId="17">
    <w:name w:val="font31"/>
    <w:basedOn w:val="6"/>
    <w:qFormat/>
    <w:uiPriority w:val="99"/>
    <w:rPr>
      <w:rFonts w:ascii="仿宋_GB2312" w:eastAsia="仿宋_GB2312" w:cs="仿宋_GB2312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Microsoft</Company>
  <Pages>33</Pages>
  <Words>3561</Words>
  <Characters>20300</Characters>
  <Lines>0</Lines>
  <Paragraphs>0</Paragraphs>
  <ScaleCrop>false</ScaleCrop>
  <LinksUpToDate>false</LinksUpToDate>
  <CharactersWithSpaces>0</CharactersWithSpaces>
  <Application>WPS Office_10.8.0.5715_F1E327BC-269C-435d-A152-05C5408002CA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2019-08-09T15:48:00Z</dcterms:created>
  <dc:creator>xianglili</dc:creator>
  <cp:lastModifiedBy>陈彩丹</cp:lastModifiedBy>
  <cp:lastPrinted>2019-08-28T03:10:17Z</cp:lastPrinted>
  <dcterms:modified xsi:type="dcterms:W3CDTF">2019-08-28T03:17:01Z</dcterms:modified>
  <dc:title>关于2019年上半年区本级预算执行情况的报告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2052-10.8.0.5715</vt:lpwstr>
  </property>
</Properties>
</file>