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龙湾区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“三公”经费预算情况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年，进一步贯彻落实上级有关规定，我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财税部门继续牢固树立“过紧日子”的思想，调整优化支出结构，压缩一般性支出，加强“三公”预算管理。201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本级“三公”经费预算限额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1876万元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上年预算限额持平；严格按照《浙江省因公临时出国经费管理规定》（浙财行【2014】30号）、《温州市党政干部因公出国（境）管理五项制度》（温委办发【2012】145号）等规定，规范管理因公出国（境）行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因公出国（境）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，与上年预算持平；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严格执行《浙江省党政机关国内公务接待管理办法》（浙委办发【2014】42号）、《龙湾区关于印发落实公务接待“三严四禁”规定实施细则的通知》（温龙委办发【2012】63号）等规定，严控公务接待经费支出，201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年区本级公务接待经费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，与上年预算持平；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严格执行《龙湾区机关公务用车制度改革实施方案》（温龙委办发【2016】66号）规定，加强公务用车管理，201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年区本级公务用车购置及运行经费支出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与上年预算持平。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454545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0F46"/>
    <w:rsid w:val="06E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2019-03-18T06:55:00Z</dcterms:created>
  <dc:creator>李晓青</dc:creator>
  <cp:lastModifiedBy>李晓青</cp:lastModifiedBy>
  <dcterms:modified xsi:type="dcterms:W3CDTF">2019-03-18T06:56:52Z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