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98" w:rsidRDefault="00A81798" w:rsidP="00A81798">
      <w:pPr>
        <w:pStyle w:val="a3"/>
        <w:ind w:firstLine="480"/>
        <w:rPr>
          <w:kern w:val="0"/>
        </w:rPr>
      </w:pPr>
      <w:r>
        <w:rPr>
          <w:rFonts w:hint="eastAsia"/>
          <w:kern w:val="0"/>
        </w:rPr>
        <w:t>附件</w:t>
      </w:r>
    </w:p>
    <w:p w:rsidR="00A81798" w:rsidRDefault="00A81798" w:rsidP="00A81798">
      <w:pPr>
        <w:pStyle w:val="3"/>
      </w:pPr>
      <w:r>
        <w:rPr>
          <w:rFonts w:hint="eastAsia"/>
        </w:rPr>
        <w:t>龙湾区行政事业单位常用固定资产使用年限表</w:t>
      </w:r>
    </w:p>
    <w:tbl>
      <w:tblPr>
        <w:tblW w:w="0" w:type="auto"/>
        <w:jc w:val="center"/>
        <w:tblLayout w:type="fixed"/>
        <w:tblLook w:val="0000"/>
      </w:tblPr>
      <w:tblGrid>
        <w:gridCol w:w="939"/>
        <w:gridCol w:w="6554"/>
        <w:gridCol w:w="1435"/>
      </w:tblGrid>
      <w:tr w:rsidR="00A81798" w:rsidTr="003C3BF6">
        <w:trPr>
          <w:trHeight w:val="375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资  产  类  别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使用年限</w:t>
            </w:r>
          </w:p>
        </w:tc>
      </w:tr>
      <w:tr w:rsidR="00A81798" w:rsidTr="003C3BF6">
        <w:trPr>
          <w:trHeight w:val="351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pacing w:before="100" w:beforeAutospacing="1" w:after="100" w:afterAutospacing="1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一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pacing w:before="100" w:beforeAutospacing="1" w:after="100" w:afterAutospacing="1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交通运输设备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pacing w:before="100" w:beforeAutospacing="1" w:after="100" w:afterAutospacing="1"/>
              <w:rPr>
                <w:rFonts w:ascii="宋体" w:hAnsi="宋体"/>
                <w:kern w:val="0"/>
                <w:szCs w:val="21"/>
              </w:rPr>
            </w:pPr>
          </w:p>
        </w:tc>
      </w:tr>
      <w:tr w:rsidR="00A81798" w:rsidTr="003C3BF6">
        <w:trPr>
          <w:trHeight w:val="303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（一）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机动车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81798" w:rsidTr="003C3BF6">
        <w:trPr>
          <w:trHeight w:val="311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9座（含9座）以下非营运载客汽车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12年</w:t>
            </w:r>
          </w:p>
        </w:tc>
      </w:tr>
      <w:tr w:rsidR="00A81798" w:rsidTr="003C3BF6">
        <w:trPr>
          <w:trHeight w:val="291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9座以上非营运载客汽车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13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微型载货（总质量小于等于1.8吨）汽车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0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总质量大于1.8吨的载货汽车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1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带拖挂的载货汽车（指全挂汽车）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29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吊车、消防车、钻探车等专用车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1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矿山作业、垃圾清运专用车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454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装配单缸柴油机的低速载货汽车（原装配单缸柴油机的三轮农用运输车）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253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三轮汽车（原三轮农用运输车）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44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6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装配单缸柴油机的低速载货汽车（原装配单缸柴油机的四轮农用运输车）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9年</w:t>
            </w:r>
          </w:p>
        </w:tc>
      </w:tr>
      <w:tr w:rsidR="00A81798" w:rsidTr="003C3BF6">
        <w:trPr>
          <w:trHeight w:val="231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两轮摩托车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26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三轮摩托车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17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（二）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船舶（含海船和河船）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81798" w:rsidTr="003C3BF6">
        <w:trPr>
          <w:trHeight w:val="365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高速客船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25年</w:t>
            </w:r>
          </w:p>
        </w:tc>
      </w:tr>
      <w:tr w:rsidR="00A81798" w:rsidTr="003C3BF6">
        <w:trPr>
          <w:trHeight w:val="39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6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line="260" w:lineRule="exact"/>
              <w:ind w:leftChars="-10" w:left="-21" w:rightChars="-30" w:right="-63"/>
              <w:jc w:val="left"/>
              <w:rPr>
                <w:rFonts w:ascii="宋体" w:hAnsi="宋体"/>
                <w:spacing w:val="-6"/>
                <w:kern w:val="0"/>
                <w:szCs w:val="21"/>
              </w:rPr>
            </w:pPr>
            <w:r>
              <w:rPr>
                <w:rFonts w:ascii="宋体" w:hAnsi="宋体" w:hint="eastAsia"/>
                <w:spacing w:val="-6"/>
                <w:kern w:val="0"/>
                <w:szCs w:val="21"/>
              </w:rPr>
              <w:t>客船类，包括客滚船、客货船、客渡船、客货渡船、旅游船、客船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30年</w:t>
            </w:r>
          </w:p>
        </w:tc>
      </w:tr>
      <w:tr w:rsidR="00A81798" w:rsidTr="003C3BF6">
        <w:trPr>
          <w:trHeight w:val="39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液体货船类，包括油船、化学品船、液化气船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31年</w:t>
            </w:r>
          </w:p>
        </w:tc>
      </w:tr>
      <w:tr w:rsidR="00A81798" w:rsidTr="003C3BF6">
        <w:trPr>
          <w:trHeight w:val="39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散货船类，包括散货船、矿砂船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33年</w:t>
            </w:r>
          </w:p>
        </w:tc>
      </w:tr>
      <w:tr w:rsidR="00A81798" w:rsidTr="003C3BF6">
        <w:trPr>
          <w:trHeight w:val="5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杂货船类，包括滚装船、散装水泥船、冷藏船、杂货船、多用途船、集装箱船、木材船、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拖/推轮</w:t>
            </w:r>
            <w:r>
              <w:rPr>
                <w:rFonts w:ascii="宋体" w:hAnsi="宋体" w:hint="eastAsia"/>
                <w:kern w:val="0"/>
                <w:szCs w:val="21"/>
              </w:rPr>
              <w:t>、驳船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34年</w:t>
            </w:r>
          </w:p>
        </w:tc>
      </w:tr>
      <w:tr w:rsidR="00A81798" w:rsidTr="003C3BF6">
        <w:trPr>
          <w:trHeight w:val="39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办公自动化设备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81798" w:rsidTr="003C3BF6">
        <w:trPr>
          <w:trHeight w:val="32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大型计算机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9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计算机网络设备（服务器、路由器、调制解调器等）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9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台式电脑（包括：网络计算机、终端）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9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平板电脑、掌上电脑、笔记本电脑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移动硬盘、不间断电源（UPS）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传真机、投影机、扫描仪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复印机、速印机、打印机、碎纸机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电器设备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电视机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电冰箱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洗衣机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摄像器材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摄影器材、照相机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空气调节器、除湿设备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中央空调设备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家具，包括办公家具、宿舍家具、其他家具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专用设备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消防设备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厨房设备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监控系统（包括监控设备设施、安全防范系统）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道路清扫设备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299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电子设备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广播电视、影像设备（摄录设备、传送设备）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音响设备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健身房设备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通讯设备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六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自动化控制及仪器仪表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七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通用测试仪器设备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八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机械设备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九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动力设备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十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传导设备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22年</w:t>
            </w:r>
          </w:p>
        </w:tc>
      </w:tr>
      <w:tr w:rsidR="00A81798" w:rsidTr="003C3BF6">
        <w:trPr>
          <w:trHeight w:val="36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十一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闭路电视播放设备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798" w:rsidRDefault="00A81798" w:rsidP="003C3BF6">
            <w:pPr>
              <w:snapToGrid w:val="0"/>
              <w:spacing w:before="100" w:beforeAutospacing="1" w:after="100" w:afterAutospacing="1"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10年</w:t>
            </w:r>
          </w:p>
        </w:tc>
      </w:tr>
    </w:tbl>
    <w:p w:rsidR="00A81798" w:rsidRDefault="00A81798" w:rsidP="00A81798">
      <w:pPr>
        <w:pStyle w:val="a3"/>
        <w:ind w:firstLineChars="0" w:firstLine="0"/>
        <w:rPr>
          <w:kern w:val="0"/>
        </w:rPr>
      </w:pPr>
    </w:p>
    <w:p w:rsidR="00670910" w:rsidRDefault="00670910"/>
    <w:sectPr w:rsidR="00670910" w:rsidSect="00670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B93" w:rsidRDefault="00A64B93" w:rsidP="000954A9">
      <w:r>
        <w:separator/>
      </w:r>
    </w:p>
  </w:endnote>
  <w:endnote w:type="continuationSeparator" w:id="1">
    <w:p w:rsidR="00A64B93" w:rsidRDefault="00A64B93" w:rsidP="00095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B93" w:rsidRDefault="00A64B93" w:rsidP="000954A9">
      <w:r>
        <w:separator/>
      </w:r>
    </w:p>
  </w:footnote>
  <w:footnote w:type="continuationSeparator" w:id="1">
    <w:p w:rsidR="00A64B93" w:rsidRDefault="00A64B93" w:rsidP="00095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798"/>
    <w:rsid w:val="000954A9"/>
    <w:rsid w:val="00473E84"/>
    <w:rsid w:val="00670910"/>
    <w:rsid w:val="00A64B93"/>
    <w:rsid w:val="00A8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81798"/>
    <w:pPr>
      <w:keepNext/>
      <w:keepLines/>
      <w:spacing w:line="420" w:lineRule="exact"/>
      <w:ind w:firstLineChars="200" w:firstLine="420"/>
      <w:jc w:val="center"/>
      <w:outlineLvl w:val="1"/>
    </w:pPr>
    <w:rPr>
      <w:rFonts w:ascii="宋体" w:hAnsi="宋体"/>
      <w:b/>
      <w:color w:val="00000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A81798"/>
    <w:rPr>
      <w:rFonts w:ascii="宋体" w:eastAsia="宋体" w:hAnsi="宋体" w:cs="Times New Roman"/>
      <w:b/>
      <w:color w:val="000000"/>
      <w:sz w:val="32"/>
      <w:szCs w:val="21"/>
    </w:rPr>
  </w:style>
  <w:style w:type="character" w:customStyle="1" w:styleId="Char">
    <w:name w:val="正文文本 Char"/>
    <w:basedOn w:val="a0"/>
    <w:link w:val="a3"/>
    <w:rsid w:val="00A81798"/>
    <w:rPr>
      <w:rFonts w:ascii="宋体" w:eastAsia="宋体" w:hAnsi="宋体" w:cs="黑体"/>
      <w:sz w:val="24"/>
      <w:szCs w:val="24"/>
    </w:rPr>
  </w:style>
  <w:style w:type="character" w:customStyle="1" w:styleId="2Char0">
    <w:name w:val="正文文本 2 Char"/>
    <w:basedOn w:val="a0"/>
    <w:link w:val="20"/>
    <w:rsid w:val="00A81798"/>
    <w:rPr>
      <w:rFonts w:ascii="仿宋_GB2312" w:eastAsia="宋体" w:hAnsi="宋体"/>
      <w:szCs w:val="30"/>
    </w:rPr>
  </w:style>
  <w:style w:type="character" w:customStyle="1" w:styleId="3Char">
    <w:name w:val="正文文本 3 Char"/>
    <w:basedOn w:val="a0"/>
    <w:link w:val="3"/>
    <w:rsid w:val="00A81798"/>
    <w:rPr>
      <w:rFonts w:ascii="宋体" w:eastAsia="宋体" w:hAnsi="宋体"/>
      <w:b/>
      <w:smallCaps/>
      <w:color w:val="000000"/>
      <w:sz w:val="24"/>
      <w:szCs w:val="24"/>
    </w:rPr>
  </w:style>
  <w:style w:type="paragraph" w:styleId="3">
    <w:name w:val="Body Text 3"/>
    <w:basedOn w:val="a"/>
    <w:link w:val="3Char"/>
    <w:rsid w:val="00A81798"/>
    <w:pPr>
      <w:spacing w:line="420" w:lineRule="exact"/>
      <w:jc w:val="center"/>
    </w:pPr>
    <w:rPr>
      <w:rFonts w:ascii="宋体" w:hAnsi="宋体" w:cstheme="minorBidi"/>
      <w:b/>
      <w:smallCaps/>
      <w:color w:val="000000"/>
      <w:sz w:val="24"/>
    </w:rPr>
  </w:style>
  <w:style w:type="character" w:customStyle="1" w:styleId="3Char1">
    <w:name w:val="正文文本 3 Char1"/>
    <w:basedOn w:val="a0"/>
    <w:link w:val="3"/>
    <w:uiPriority w:val="99"/>
    <w:semiHidden/>
    <w:rsid w:val="00A81798"/>
    <w:rPr>
      <w:rFonts w:ascii="Times New Roman" w:eastAsia="宋体" w:hAnsi="Times New Roman" w:cs="Times New Roman"/>
      <w:sz w:val="16"/>
      <w:szCs w:val="16"/>
    </w:rPr>
  </w:style>
  <w:style w:type="paragraph" w:styleId="a3">
    <w:name w:val="Body Text"/>
    <w:basedOn w:val="a"/>
    <w:link w:val="Char"/>
    <w:rsid w:val="00A81798"/>
    <w:pPr>
      <w:spacing w:line="420" w:lineRule="exact"/>
      <w:ind w:firstLineChars="200" w:firstLine="420"/>
    </w:pPr>
    <w:rPr>
      <w:rFonts w:ascii="宋体" w:hAnsi="宋体" w:cs="黑体"/>
      <w:sz w:val="24"/>
    </w:rPr>
  </w:style>
  <w:style w:type="character" w:customStyle="1" w:styleId="Char1">
    <w:name w:val="正文文本 Char1"/>
    <w:basedOn w:val="a0"/>
    <w:link w:val="a3"/>
    <w:uiPriority w:val="99"/>
    <w:semiHidden/>
    <w:rsid w:val="00A81798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A81798"/>
    <w:pPr>
      <w:spacing w:line="310" w:lineRule="exact"/>
      <w:ind w:right="420"/>
      <w:jc w:val="right"/>
    </w:pPr>
    <w:rPr>
      <w:rFonts w:ascii="仿宋_GB2312" w:hAnsi="宋体" w:cstheme="minorBidi"/>
      <w:szCs w:val="30"/>
    </w:rPr>
  </w:style>
  <w:style w:type="character" w:customStyle="1" w:styleId="2Char1">
    <w:name w:val="正文文本 2 Char1"/>
    <w:basedOn w:val="a0"/>
    <w:link w:val="20"/>
    <w:uiPriority w:val="99"/>
    <w:semiHidden/>
    <w:rsid w:val="00A8179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95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54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095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0954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>Sky123.Org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陈洁慈</dc:creator>
  <cp:lastModifiedBy>温州市龙湾区财政局</cp:lastModifiedBy>
  <cp:revision>2</cp:revision>
  <dcterms:created xsi:type="dcterms:W3CDTF">2017-06-12T01:09:00Z</dcterms:created>
  <dcterms:modified xsi:type="dcterms:W3CDTF">2017-06-12T01:09:00Z</dcterms:modified>
</cp:coreProperties>
</file>